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无锡市政府采购项目</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公开招标文件</w:t>
      </w:r>
      <w:r/>
    </w:p>
    <w:p>
      <w:pPr>
        <w:jc w:val="center"/>
        <w:tabs>
          <w:tab w:val="left" w:pos="9921" w:leader="none"/>
        </w:tabs>
        <w:rPr>
          <w:rFonts w:hint="eastAsia" w:ascii="宋体" w:hAnsi="宋体" w:cs="宋体"/>
          <w:bCs/>
          <w:color w:val="auto"/>
          <w:sz w:val="30"/>
          <w:highlight w:val="none"/>
        </w:rPr>
      </w:pPr>
      <w:r>
        <w:rPr>
          <w:rFonts w:hint="eastAsia" w:ascii="宋体" w:hAnsi="宋体" w:cs="宋体"/>
          <w:bCs/>
          <w:color w:val="auto"/>
          <w:sz w:val="30"/>
          <w:highlight w:val="none"/>
        </w:rPr>
      </w:r>
      <w:r/>
    </w:p>
    <w:p>
      <w:pPr>
        <w:jc w:val="center"/>
        <w:tabs>
          <w:tab w:val="left" w:pos="9921" w:leader="none"/>
        </w:tabs>
        <w:rPr>
          <w:rFonts w:hint="eastAsia" w:ascii="宋体" w:hAnsi="宋体" w:cs="宋体"/>
          <w:bCs/>
          <w:color w:val="auto"/>
          <w:sz w:val="30"/>
          <w:highlight w:val="none"/>
        </w:rPr>
      </w:pPr>
      <w:r>
        <w:rPr>
          <w:rFonts w:hint="eastAsia" w:ascii="宋体" w:hAnsi="宋体" w:cs="宋体"/>
          <w:bCs/>
          <w:color w:val="auto"/>
          <w:sz w:val="30"/>
          <w:highlight w:val="none"/>
        </w:rPr>
        <w:t xml:space="preserve">（全流程电子化）</w:t>
      </w:r>
      <w:r/>
    </w:p>
    <w:p>
      <w:pPr>
        <w:pStyle w:val="7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ind w:firstLine="282"/>
        <w:spacing w:before="90" w:beforeAutospacing="0" w:after="90" w:afterAutospacing="0" w:line="360" w:lineRule="atLeast"/>
        <w:shd w:val="clear" w:color="auto" w:fill="ffffff"/>
        <w:rPr>
          <w:rFonts w:hint="eastAsia" w:cs="宋体"/>
          <w:bCs/>
          <w:color w:val="auto"/>
          <w:sz w:val="30"/>
          <w:szCs w:val="30"/>
          <w:highlight w:val="none"/>
        </w:rPr>
      </w:pPr>
      <w:r>
        <w:rPr>
          <w:rFonts w:hint="eastAsia" w:cs="宋体"/>
          <w:bCs/>
          <w:color w:val="auto"/>
          <w:sz w:val="30"/>
          <w:szCs w:val="30"/>
          <w:highlight w:val="none"/>
        </w:rPr>
      </w:r>
      <w:r/>
    </w:p>
    <w:p>
      <w:pPr>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采购项目编号：JSZC-320211-SXZT-G2026-0011</w:t>
      </w:r>
      <w:r/>
    </w:p>
    <w:p>
      <w:pPr>
        <w:ind w:firstLine="150"/>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采购项目名称：南京大学无锡滨湖大气前沿技术与高端装备创新研究院科技展厅布展项目</w:t>
      </w:r>
      <w:r/>
    </w:p>
    <w:p>
      <w:pPr>
        <w:ind w:firstLine="300"/>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采   购   人：无锡滨湖前沿技术创新研究中心</w:t>
      </w:r>
      <w:r/>
    </w:p>
    <w:p>
      <w:pPr>
        <w:ind w:firstLine="300"/>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采购代理机构： 江苏信中天工程咨询有限公司  </w:t>
      </w:r>
      <w:r/>
    </w:p>
    <w:p>
      <w:pPr>
        <w:ind w:firstLine="300"/>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jc w:val="center"/>
        <w:rPr>
          <w:rFonts w:hint="eastAsia" w:ascii="宋体" w:hAnsi="宋体" w:cs="宋体"/>
          <w:bCs/>
          <w:color w:val="auto"/>
          <w:sz w:val="44"/>
          <w:highlight w:val="none"/>
        </w:rPr>
      </w:pPr>
      <w:r>
        <w:rPr>
          <w:rFonts w:hint="eastAsia" w:ascii="宋体" w:hAnsi="宋体" w:cs="宋体"/>
          <w:bCs/>
          <w:color w:val="auto"/>
          <w:sz w:val="32"/>
          <w:szCs w:val="32"/>
          <w:highlight w:val="none"/>
        </w:rPr>
        <w:t xml:space="preserve">二〇二六年六月</w:t>
      </w:r>
      <w:r/>
    </w:p>
    <w:p>
      <w:pPr>
        <w:jc w:val="center"/>
        <w:rPr>
          <w:rStyle w:val="1019"/>
          <w:rFonts w:hint="eastAsia" w:ascii="宋体" w:hAnsi="宋体" w:cs="宋体"/>
          <w:bCs/>
          <w:color w:val="auto"/>
          <w:sz w:val="48"/>
          <w:highlight w:val="none"/>
        </w:rPr>
        <w:outlineLvl w:val="0"/>
      </w:pPr>
      <w:r/>
      <w:bookmarkStart w:id="0" w:name="_Toc27240"/>
      <w:r/>
      <w:r/>
    </w:p>
    <w:p>
      <w:pPr>
        <w:jc w:val="center"/>
        <w:rPr>
          <w:rStyle w:val="1019"/>
          <w:rFonts w:hint="eastAsia" w:ascii="宋体" w:hAnsi="宋体" w:cs="宋体"/>
          <w:bCs/>
          <w:color w:val="auto"/>
          <w:sz w:val="48"/>
          <w:highlight w:val="none"/>
        </w:rPr>
        <w:outlineLvl w:val="0"/>
      </w:pPr>
      <w:r>
        <w:rPr>
          <w:rFonts w:hint="eastAsia" w:ascii="宋体" w:hAnsi="宋体" w:cs="宋体"/>
          <w:bCs/>
          <w:color w:val="auto"/>
          <w:sz w:val="48"/>
          <w:highlight w:val="none"/>
        </w:rPr>
      </w:r>
      <w:r/>
    </w:p>
    <w:p>
      <w:pPr>
        <w:jc w:val="center"/>
        <w:rPr>
          <w:rStyle w:val="1019"/>
          <w:rFonts w:hint="eastAsia" w:ascii="宋体" w:hAnsi="宋体" w:cs="宋体"/>
          <w:color w:val="auto"/>
          <w:sz w:val="48"/>
          <w:szCs w:val="48"/>
          <w:highlight w:val="none"/>
        </w:rPr>
        <w:outlineLvl w:val="0"/>
      </w:pPr>
      <w:r>
        <w:rPr>
          <w:rStyle w:val="1019"/>
          <w:rFonts w:hint="eastAsia" w:ascii="宋体" w:hAnsi="宋体" w:cs="宋体"/>
          <w:bCs/>
          <w:color w:val="auto"/>
          <w:sz w:val="48"/>
          <w:highlight w:val="none"/>
        </w:rPr>
        <w:t xml:space="preserve">目  录</w:t>
      </w:r>
      <w:bookmarkEnd w:id="0"/>
      <w:r/>
      <w:r/>
    </w:p>
    <w:p>
      <w:pPr>
        <w:jc w:val="center"/>
        <w:rPr>
          <w:rFonts w:hint="eastAsia" w:ascii="宋体" w:hAnsi="宋体" w:cs="宋体"/>
          <w:bCs/>
          <w:color w:val="auto"/>
          <w:sz w:val="30"/>
          <w:highlight w:val="none"/>
        </w:rPr>
      </w:pPr>
      <w:r>
        <w:rPr>
          <w:rFonts w:hint="eastAsia" w:ascii="宋体" w:hAnsi="宋体" w:cs="宋体"/>
          <w:bCs/>
          <w:color w:val="auto"/>
          <w:sz w:val="30"/>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009"/>
        <w:tabs>
          <w:tab w:val="right" w:pos="9921" w:leader="dot"/>
        </w:tabs>
        <w:rPr>
          <w:rFonts w:hint="eastAsia" w:ascii="宋体" w:hAnsi="宋体" w:cs="宋体"/>
          <w:color w:val="auto"/>
          <w:highlight w:val="none"/>
        </w:rPr>
      </w:pPr>
      <w:r>
        <w:rPr>
          <w:rFonts w:hint="eastAsia" w:ascii="宋体" w:hAnsi="宋体" w:cs="宋体"/>
          <w:bCs/>
          <w:color w:val="auto"/>
          <w:sz w:val="30"/>
          <w:szCs w:val="30"/>
          <w:highlight w:val="none"/>
        </w:rPr>
        <w:fldChar w:fldCharType="begin"/>
      </w:r>
      <w:r>
        <w:rPr>
          <w:rFonts w:hint="eastAsia" w:ascii="宋体" w:hAnsi="宋体" w:cs="宋体"/>
          <w:bCs/>
          <w:color w:val="auto"/>
          <w:sz w:val="30"/>
          <w:szCs w:val="30"/>
          <w:highlight w:val="none"/>
        </w:rPr>
        <w:instrText xml:space="preserve">TOC \o "1-1" \h \u </w:instrText>
      </w:r>
      <w:r>
        <w:rPr>
          <w:rFonts w:hint="eastAsia" w:ascii="宋体" w:hAnsi="宋体" w:cs="宋体"/>
          <w:bCs/>
          <w:color w:val="auto"/>
          <w:sz w:val="30"/>
          <w:szCs w:val="30"/>
          <w:highlight w:val="none"/>
        </w:rPr>
        <w:fldChar w:fldCharType="separate"/>
      </w:r>
      <w:r/>
    </w:p>
    <w:p>
      <w:pPr>
        <w:pStyle w:val="1009"/>
        <w:spacing w:line="480" w:lineRule="auto"/>
        <w:tabs>
          <w:tab w:val="right" w:pos="9460" w:leader="dot"/>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"_Toc26807" </w:instrText>
      </w:r>
      <w:r>
        <w:rPr>
          <w:color w:val="auto"/>
          <w:highlight w:val="none"/>
        </w:rPr>
        <w:fldChar w:fldCharType="separate"/>
      </w:r>
      <w:r>
        <w:rPr>
          <w:rFonts w:hint="eastAsia" w:ascii="宋体" w:hAnsi="宋体" w:cs="宋体"/>
          <w:bCs/>
          <w:color w:val="auto"/>
          <w:sz w:val="30"/>
          <w:szCs w:val="30"/>
          <w:highlight w:val="none"/>
        </w:rPr>
        <w:t xml:space="preserve">一．投标邀请函</w:t>
      </w:r>
      <w:r>
        <w:rPr>
          <w:rFonts w:hint="eastAsia" w:ascii="宋体" w:hAnsi="宋体" w:cs="宋体"/>
          <w:bCs/>
          <w:color w:val="auto"/>
          <w:sz w:val="30"/>
          <w:szCs w:val="30"/>
          <w:highlight w:val="none"/>
        </w:rPr>
        <w:fldChar w:fldCharType="end"/>
      </w:r>
      <w:r/>
    </w:p>
    <w:p>
      <w:pPr>
        <w:pStyle w:val="1009"/>
        <w:spacing w:line="480" w:lineRule="auto"/>
        <w:tabs>
          <w:tab w:val="right" w:pos="9460" w:leader="dot"/>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"_Toc16116" </w:instrText>
      </w:r>
      <w:r>
        <w:rPr>
          <w:color w:val="auto"/>
          <w:highlight w:val="none"/>
        </w:rPr>
        <w:fldChar w:fldCharType="separate"/>
      </w:r>
      <w:r>
        <w:rPr>
          <w:rFonts w:hint="eastAsia" w:ascii="宋体" w:hAnsi="宋体" w:cs="宋体"/>
          <w:bCs/>
          <w:color w:val="auto"/>
          <w:sz w:val="30"/>
          <w:szCs w:val="30"/>
          <w:highlight w:val="none"/>
        </w:rPr>
        <w:t xml:space="preserve">二．投标供应商须知</w:t>
      </w:r>
      <w:r>
        <w:rPr>
          <w:rFonts w:hint="eastAsia" w:ascii="宋体" w:hAnsi="宋体" w:cs="宋体"/>
          <w:bCs/>
          <w:color w:val="auto"/>
          <w:sz w:val="30"/>
          <w:szCs w:val="30"/>
          <w:highlight w:val="none"/>
        </w:rPr>
        <w:fldChar w:fldCharType="end"/>
      </w:r>
      <w:r/>
    </w:p>
    <w:p>
      <w:pPr>
        <w:pStyle w:val="1009"/>
        <w:spacing w:line="480" w:lineRule="auto"/>
        <w:tabs>
          <w:tab w:val="right" w:pos="9460" w:leader="dot"/>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"_Toc27505" </w:instrText>
      </w:r>
      <w:r>
        <w:rPr>
          <w:color w:val="auto"/>
          <w:highlight w:val="none"/>
        </w:rPr>
        <w:fldChar w:fldCharType="separate"/>
      </w:r>
      <w:r>
        <w:rPr>
          <w:rFonts w:hint="eastAsia" w:ascii="宋体" w:hAnsi="宋体" w:cs="宋体"/>
          <w:bCs/>
          <w:color w:val="auto"/>
          <w:sz w:val="30"/>
          <w:szCs w:val="30"/>
          <w:highlight w:val="none"/>
        </w:rPr>
        <w:t xml:space="preserve">三、项目要求和有关说明</w:t>
      </w:r>
      <w:r>
        <w:rPr>
          <w:rFonts w:hint="eastAsia" w:ascii="宋体" w:hAnsi="宋体" w:cs="宋体"/>
          <w:bCs/>
          <w:color w:val="auto"/>
          <w:sz w:val="30"/>
          <w:szCs w:val="30"/>
          <w:highlight w:val="none"/>
        </w:rPr>
        <w:fldChar w:fldCharType="end"/>
      </w:r>
      <w:r/>
    </w:p>
    <w:p>
      <w:pPr>
        <w:pStyle w:val="1009"/>
        <w:spacing w:line="480" w:lineRule="auto"/>
        <w:tabs>
          <w:tab w:val="right" w:pos="9460" w:leader="dot"/>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"_Toc12363" </w:instrText>
      </w:r>
      <w:r>
        <w:rPr>
          <w:color w:val="auto"/>
          <w:highlight w:val="none"/>
        </w:rPr>
        <w:fldChar w:fldCharType="separate"/>
      </w:r>
      <w:r>
        <w:rPr>
          <w:rFonts w:hint="eastAsia" w:ascii="宋体" w:hAnsi="宋体" w:cs="宋体"/>
          <w:bCs/>
          <w:color w:val="auto"/>
          <w:sz w:val="30"/>
          <w:szCs w:val="30"/>
          <w:highlight w:val="none"/>
        </w:rPr>
        <w:t xml:space="preserve">四．</w:t>
      </w:r>
      <w:r>
        <w:rPr>
          <w:rFonts w:hint="eastAsia" w:ascii="宋体" w:hAnsi="宋体" w:cs="宋体"/>
          <w:color w:val="auto"/>
          <w:sz w:val="30"/>
          <w:szCs w:val="30"/>
          <w:highlight w:val="none"/>
        </w:rPr>
        <w:t xml:space="preserve">合同书（格式文本）</w:t>
      </w:r>
      <w:r>
        <w:rPr>
          <w:rFonts w:hint="eastAsia" w:ascii="宋体" w:hAnsi="宋体" w:cs="宋体"/>
          <w:color w:val="auto"/>
          <w:sz w:val="30"/>
          <w:szCs w:val="30"/>
          <w:highlight w:val="none"/>
        </w:rPr>
        <w:fldChar w:fldCharType="end"/>
      </w:r>
      <w:r/>
    </w:p>
    <w:p>
      <w:pPr>
        <w:pStyle w:val="1009"/>
        <w:spacing w:line="480" w:lineRule="auto"/>
        <w:tabs>
          <w:tab w:val="right" w:pos="9460" w:leader="dot"/>
        </w:tabs>
        <w:rPr>
          <w:rFonts w:hint="eastAsia" w:ascii="宋体" w:hAnsi="宋体" w:cs="宋体"/>
          <w:bCs/>
          <w:color w:val="auto"/>
          <w:szCs w:val="30"/>
          <w:highlight w:val="none"/>
        </w:rPr>
      </w:pPr>
      <w:r>
        <w:rPr>
          <w:color w:val="auto"/>
          <w:highlight w:val="none"/>
        </w:rPr>
        <w:fldChar w:fldCharType="begin"/>
      </w:r>
      <w:r>
        <w:rPr>
          <w:color w:val="auto"/>
          <w:highlight w:val="none"/>
        </w:rPr>
        <w:instrText xml:space="preserve"> HYPERLINK \l "_Toc15101" </w:instrText>
      </w:r>
      <w:r>
        <w:rPr>
          <w:color w:val="auto"/>
          <w:highlight w:val="none"/>
        </w:rPr>
        <w:fldChar w:fldCharType="separate"/>
      </w:r>
      <w:r>
        <w:rPr>
          <w:rFonts w:hint="eastAsia" w:ascii="宋体" w:hAnsi="宋体" w:cs="宋体"/>
          <w:bCs/>
          <w:color w:val="auto"/>
          <w:sz w:val="30"/>
          <w:szCs w:val="30"/>
          <w:highlight w:val="none"/>
        </w:rPr>
        <w:t xml:space="preserve">五. 评标方法与评标标准</w:t>
      </w:r>
      <w:r>
        <w:rPr>
          <w:rFonts w:hint="eastAsia" w:ascii="宋体" w:hAnsi="宋体" w:cs="宋体"/>
          <w:bCs/>
          <w:color w:val="auto"/>
          <w:sz w:val="30"/>
          <w:szCs w:val="30"/>
          <w:highlight w:val="none"/>
        </w:rPr>
        <w:fldChar w:fldCharType="end"/>
      </w:r>
      <w:r>
        <w:rPr>
          <w:rFonts w:hint="eastAsia" w:ascii="宋体" w:hAnsi="宋体" w:cs="宋体"/>
          <w:bCs/>
          <w:color w:val="auto"/>
          <w:szCs w:val="30"/>
          <w:highlight w:val="none"/>
        </w:rPr>
        <w:fldChar w:fldCharType="end"/>
      </w:r>
      <w:r/>
    </w:p>
    <w:p>
      <w:pPr>
        <w:rPr>
          <w:rFonts w:hint="eastAsia" w:ascii="宋体" w:hAnsi="宋体" w:eastAsia="宋体" w:cs="宋体"/>
          <w:bCs/>
          <w:color w:val="auto"/>
          <w:sz w:val="30"/>
          <w:szCs w:val="30"/>
          <w:highlight w:val="none"/>
          <w:lang w:val="en-US" w:eastAsia="zh-CN" w:bidi="ar-SA"/>
        </w:rPr>
      </w:pPr>
      <w:r>
        <w:rPr>
          <w:rFonts w:hint="eastAsia" w:ascii="宋体" w:hAnsi="宋体" w:eastAsia="宋体" w:cs="宋体"/>
          <w:bCs/>
          <w:color w:val="auto"/>
          <w:sz w:val="30"/>
          <w:szCs w:val="30"/>
          <w:highlight w:val="none"/>
          <w:lang w:val="en-US" w:eastAsia="zh-CN" w:bidi="ar-SA"/>
        </w:rPr>
        <w:t xml:space="preserve">六．投标文件内容与格式</w:t>
      </w:r>
      <w:r/>
    </w:p>
    <w:p>
      <w:pPr>
        <w:spacing w:line="72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w:t>
      </w:r>
      <w:r/>
    </w:p>
    <w:p>
      <w:pPr>
        <w:spacing w:line="72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spacing w:line="48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rPr>
          <w:rFonts w:hint="eastAsia" w:ascii="宋体" w:hAnsi="宋体" w:cs="宋体"/>
          <w:bCs/>
          <w:color w:val="auto"/>
          <w:sz w:val="28"/>
          <w:highlight w:val="none"/>
        </w:rPr>
      </w:pPr>
      <w:r>
        <w:rPr>
          <w:rFonts w:hint="eastAsia" w:ascii="宋体" w:hAnsi="宋体" w:cs="宋体"/>
          <w:bCs/>
          <w:color w:val="auto"/>
          <w:sz w:val="28"/>
          <w:highlight w:val="none"/>
        </w:rPr>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jc w:val="center"/>
        <w:spacing w:line="360" w:lineRule="auto"/>
        <w:rPr>
          <w:rFonts w:hint="eastAsia" w:ascii="宋体" w:hAnsi="宋体" w:cs="宋体"/>
          <w:bCs/>
          <w:color w:val="auto"/>
          <w:sz w:val="32"/>
          <w:szCs w:val="32"/>
          <w:highlight w:val="none"/>
        </w:rPr>
        <w:sectPr>
          <w:headerReference w:type="default" r:id="rId9"/>
          <w:footerReference w:type="default" r:id="rId11"/>
          <w:footnotePr/>
          <w:endnotePr/>
          <w:type w:val="nextPage"/>
          <w:pgSz w:w="11906" w:h="16838" w:orient="portrait"/>
          <w:pgMar w:top="1361" w:right="1361" w:bottom="1361" w:left="1361" w:header="851" w:footer="992" w:gutter="0"/>
          <w:pgNumType w:start="1"/>
          <w:cols w:num="1" w:sep="0" w:space="425" w:equalWidth="1"/>
          <w:docGrid w:linePitch="360"/>
        </w:sectPr>
        <w:outlineLvl w:val="0"/>
      </w:pPr>
      <w:r/>
      <w:bookmarkStart w:id="1" w:name="报价方须知前附表"/>
      <w:r/>
      <w:bookmarkEnd w:id="1"/>
      <w:r/>
      <w:bookmarkStart w:id="2" w:name="_Toc26807"/>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一、投标邀请函</w:t>
      </w:r>
      <w:bookmarkEnd w:id="2"/>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江苏信中天工程咨询有限公司受无锡滨湖前沿技术创新研究中心的委托，</w:t>
      </w:r>
      <w:r>
        <w:rPr>
          <w:rFonts w:hint="eastAsia" w:ascii="宋体" w:hAnsi="宋体" w:cs="宋体"/>
          <w:bCs/>
          <w:color w:val="auto"/>
          <w:sz w:val="24"/>
          <w:szCs w:val="24"/>
          <w:highlight w:val="none"/>
        </w:rPr>
        <w:t xml:space="preserve">对南京大学无锡滨湖大气前沿技术与高端装备创新研究院科技展厅布展项目进行公开招标采购，欢迎符合相关条件的供应商参加投标并提请注意下列相关事项：</w:t>
      </w:r>
      <w:r/>
    </w:p>
    <w:p>
      <w:pPr>
        <w:ind w:firstLine="480"/>
        <w:spacing w:line="36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1.项目名称：南京大学无锡滨湖大气前沿技术与高端装备创新研究院科技展厅布展项目</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2.项目编号：JSZC-320211-SXZT-G2026-0011</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3.采购人：无锡滨湖前沿技术创新研究中心</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4.采购内容：南京大学无锡滨湖大气前沿技术与高端装备创新研究院科技展厅布展服务，内容</w:t>
      </w:r>
      <w:r>
        <w:rPr>
          <w:rFonts w:hint="eastAsia" w:ascii="宋体" w:hAnsi="宋体" w:cs="宋体"/>
          <w:color w:val="auto"/>
          <w:sz w:val="24"/>
          <w:szCs w:val="24"/>
          <w:highlight w:val="none"/>
        </w:rPr>
        <w:t xml:space="preserve">包括主形象墙、发展历程、氛围灯箱系统、飞艇升降展示区（沙盘）、VR投影、VR视频制作等</w:t>
      </w:r>
      <w:r>
        <w:rPr>
          <w:rFonts w:hint="eastAsia" w:ascii="宋体" w:hAnsi="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5.服务期: 1个月内完成设计、供货、安装、调试并交付采购人使用（具体起始日期以采购人通知为准）。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6.质量要求：一次性验收通过，100%合格</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7.本项目预算金额：119.169101万元，最高限价：106.1936万元。投标报价高于本项目最高限价的作为无效投标处理。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.本项目是否专门面向中小企业:否。</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的标的对应的中小企业划分标准所属行业为：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本项目不接受联合体投标</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（二）投标供应商资格要求</w:t>
      </w:r>
      <w:r/>
    </w:p>
    <w:p>
      <w:pPr>
        <w:pStyle w:val="1030"/>
        <w:numPr>
          <w:ilvl w:val="1"/>
          <w:numId w:val="0"/>
        </w:numPr>
        <w:ind w:firstLine="567"/>
        <w:spacing w:line="360" w:lineRule="auto"/>
        <w:tabs>
          <w:tab w:val="left" w:pos="1276" w:leader="none"/>
        </w:tabs>
        <w:rPr>
          <w:rFonts w:hint="eastAsia" w:ascii="宋体" w:hAnsi="宋体" w:cs="宋体"/>
          <w:bCs/>
          <w:color w:val="auto"/>
          <w:sz w:val="24"/>
          <w:highlight w:val="none"/>
        </w:rPr>
      </w:pPr>
      <w:r>
        <w:rPr>
          <w:rFonts w:hint="eastAsia" w:ascii="宋体" w:hAnsi="宋体" w:cs="宋体"/>
          <w:color w:val="auto"/>
          <w:sz w:val="24"/>
          <w:szCs w:val="24"/>
          <w:highlight w:val="none"/>
        </w:rPr>
        <w:t xml:space="preserve">1.具备《中华人民共和国政府采购法》第二十二条第一款规定的条件</w:t>
      </w:r>
      <w:r>
        <w:rPr>
          <w:rFonts w:hint="eastAsia" w:ascii="宋体" w:hAnsi="宋体" w:cs="宋体"/>
          <w:bCs/>
          <w:color w:val="auto"/>
          <w:sz w:val="24"/>
          <w:highlight w:val="none"/>
        </w:rPr>
        <w:t xml:space="preserve">，还必须同时具备下列条件：</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2.《授权委托书》（给定格式；投标人如是自然人情形的，可不提供）。</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4.投标人近一年中任意一个月份（不含投标当月）的依法缴纳税收的相关材料（提供相关主管部门证明或银行代扣证明）。</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5.投标人近一年中任意一个月份（不含投标当月）的依法缴纳社会保障资金的相关材料（提供相关主管部门证明或银行代扣证明）。</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eastAsia="zh-CN"/>
        </w:rPr>
        <w:t xml:space="preserve">承诺书</w:t>
      </w:r>
      <w:r>
        <w:rPr>
          <w:rFonts w:hint="eastAsia" w:ascii="宋体" w:hAnsi="宋体" w:cs="宋体"/>
          <w:bCs/>
          <w:color w:val="auto"/>
          <w:sz w:val="24"/>
          <w:szCs w:val="24"/>
          <w:highlight w:val="none"/>
        </w:rPr>
        <w:t xml:space="preserve">》（给定格式）。</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具备采购人根据招标项目的特殊要求规定的以下特定资质：</w:t>
      </w:r>
      <w:r/>
    </w:p>
    <w:p>
      <w:pPr>
        <w:pStyle w:val="826"/>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（1）未被“信用中国”网站（www.creditchina.gov.cn）列入失信被执行人、重大税收违法案件当事人名单、政府采购严重失信行为记录名单。</w:t>
      </w:r>
      <w:r/>
    </w:p>
    <w:p>
      <w:pPr>
        <w:pStyle w:val="826"/>
        <w:ind w:left="0"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826"/>
        <w:ind w:left="0"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0"/>
        <w:jc w:val="left"/>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（三）供应商主体信息库注册</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2.如供应商未按上述要求操作，由此所产生的损失及风险由供应商自行承担。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3.有关本次招标的事项若存在变动或修改，敬请及时关注江苏政府采购网发布的信息更正公告。如潜在投标供应商未按上述要求操作，由此所产生的损失及风险由潜在投标供应商自行承担。</w:t>
      </w:r>
      <w:r/>
    </w:p>
    <w:p>
      <w:pPr>
        <w:ind w:firstLine="480"/>
        <w:spacing w:line="36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（四）完成项目报名，获取采购文件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潜在投标供应商可在项目招标公告附件中查看公开招标文件，如确定</w:t>
      </w:r>
      <w:r>
        <w:rPr>
          <w:rFonts w:hint="eastAsia" w:ascii="宋体" w:hAnsi="宋体" w:cs="宋体"/>
          <w:bCs/>
          <w:color w:val="auto"/>
          <w:sz w:val="24"/>
          <w:szCs w:val="24"/>
          <w:highlight w:val="none"/>
        </w:rPr>
        <w:t xml:space="preserve">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left="-58"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（五）公开答疑时间、地点</w:t>
      </w:r>
      <w:r/>
    </w:p>
    <w:p>
      <w:pPr>
        <w:ind w:left="-58"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采购人、江苏信中天工程咨询有限公司将以线上不见面、电话咨询、传真等方式开展线上答疑服务。截止至2026年06月</w:t>
      </w:r>
      <w:r>
        <w:rPr>
          <w:rFonts w:hint="eastAsia" w:ascii="宋体" w:hAnsi="宋体" w:cs="宋体"/>
          <w:bCs/>
          <w:color w:val="auto"/>
          <w:sz w:val="24"/>
          <w:szCs w:val="24"/>
          <w:highlight w:val="none"/>
          <w:lang w:val="en-US" w:eastAsia="zh-CN"/>
        </w:rPr>
        <w:t xml:space="preserve">18</w:t>
      </w:r>
      <w:r>
        <w:rPr>
          <w:rFonts w:hint="eastAsia" w:ascii="宋体" w:hAnsi="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18</w:t>
      </w:r>
      <w:r>
        <w:rPr>
          <w:rFonts w:hint="eastAsia" w:ascii="宋体" w:hAnsi="宋体" w:cs="宋体"/>
          <w:bCs/>
          <w:color w:val="auto"/>
          <w:sz w:val="24"/>
          <w:szCs w:val="24"/>
          <w:highlight w:val="none"/>
        </w:rPr>
        <w:t xml:space="preserve">:00前，有关单位对于招标文件的相关事项如有疑问可通过上述方式咨询采购人；投标供应商如有需要对招标文件要求澄清的问题，请书面提出“JSZC-320211-SXZT-G2026-0011项目需澄清问题”，并将盖章原件邮寄至江苏信中天工程咨询有限公司，地址：无锡市太湖大道2288号华仁逸景国际5楼。若未在法定时间内提出澄清，由此造成的损失及风险由投标供应商自行承担。</w:t>
      </w:r>
      <w:r/>
    </w:p>
    <w:p>
      <w:pPr>
        <w:ind w:left="-58"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注：建议各拟投标供应商尽量对项目现场和周围环境进行踏勘，在随后的采购中，对现场资料和数据所做出的推论、解释和结论及由此造成的后果由投标供应商负责。</w:t>
      </w:r>
      <w:r/>
    </w:p>
    <w:p>
      <w:pPr>
        <w:ind w:firstLine="480"/>
        <w:jc w:val="left"/>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（六）网上投标及开标、定标时间、地点   </w:t>
      </w:r>
      <w:r/>
    </w:p>
    <w:p>
      <w:pPr>
        <w:ind w:left="-58"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网上投标截止时间：2026年0</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06</w:t>
      </w:r>
      <w:r>
        <w:rPr>
          <w:rFonts w:hint="eastAsia" w:ascii="宋体" w:hAnsi="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14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0</w:t>
      </w:r>
      <w:r>
        <w:rPr>
          <w:rFonts w:hint="eastAsia" w:ascii="宋体" w:hAnsi="宋体" w:cs="宋体"/>
          <w:bCs/>
          <w:color w:val="auto"/>
          <w:sz w:val="24"/>
          <w:szCs w:val="24"/>
          <w:highlight w:val="none"/>
        </w:rPr>
        <w:t xml:space="preserve">0（投标截止时间后的投标文件恕不接受）</w:t>
      </w:r>
      <w:r/>
    </w:p>
    <w:p>
      <w:pPr>
        <w:ind w:left="-58"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网上投标解密时间：2026年0</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06</w:t>
      </w:r>
      <w:r>
        <w:rPr>
          <w:rFonts w:hint="eastAsia" w:ascii="宋体" w:hAnsi="宋体" w:cs="宋体"/>
          <w:bCs/>
          <w:color w:val="auto"/>
          <w:sz w:val="24"/>
          <w:szCs w:val="24"/>
          <w:highlight w:val="none"/>
        </w:rPr>
        <w:t xml:space="preserve">日开启解密后半小时。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定标地点：江苏省政府采购（苏采云）平台</w:t>
      </w:r>
      <w:r/>
    </w:p>
    <w:p>
      <w:pPr>
        <w:ind w:firstLine="480"/>
        <w:spacing w:line="36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（七）投标有效期：开标之日起90日历天</w:t>
      </w:r>
      <w:r/>
    </w:p>
    <w:p>
      <w:pPr>
        <w:ind w:firstLine="480"/>
        <w:spacing w:line="36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（八）采购方法：</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本次采购采用《江苏省政府采购（苏采云）平台》进行采购活动，采购文件发布、报价、评审和中标结果发布全程电子化操作。</w:t>
      </w:r>
      <w:r/>
    </w:p>
    <w:p>
      <w:pPr>
        <w:ind w:firstLine="480"/>
        <w:spacing w:line="36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（九）其他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1.采购人名称：无锡滨湖前沿技术创新研究中心</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w:t>
      </w:r>
      <w:r>
        <w:rPr>
          <w:rFonts w:hint="eastAsia" w:ascii="宋体" w:hAnsi="宋体"/>
          <w:bCs/>
          <w:color w:val="auto"/>
          <w:sz w:val="24"/>
          <w:szCs w:val="24"/>
          <w:highlight w:val="none"/>
        </w:rPr>
        <w:t xml:space="preserve">无锡市滨湖区绣溪路50号K-PARK商务中心4号楼19层</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olor w:val="auto"/>
          <w:sz w:val="24"/>
          <w:szCs w:val="24"/>
          <w:highlight w:val="none"/>
        </w:rPr>
        <w:t xml:space="preserve">朱老师</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olor w:val="auto"/>
          <w:sz w:val="24"/>
          <w:szCs w:val="24"/>
          <w:highlight w:val="none"/>
        </w:rPr>
        <w:t xml:space="preserve">0510-85598692</w:t>
      </w:r>
      <w:r>
        <w:rPr>
          <w:rFonts w:hint="eastAsia" w:ascii="宋体" w:hAnsi="宋体" w:cs="宋体"/>
          <w:color w:val="auto"/>
          <w:sz w:val="24"/>
          <w:szCs w:val="24"/>
          <w:highlight w:val="none"/>
        </w:rPr>
        <w:t xml:space="preserve"> </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采购人电子邮件地址：zhucaijun@nju.edu.cn</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2.采购代理机构名称：江苏信中天工程咨询有限公司</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联系地址：无锡市太湖大道2288号华仁逸景国际5楼</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代理机构联系人：</w:t>
      </w:r>
      <w:r>
        <w:rPr>
          <w:rFonts w:hint="eastAsia" w:ascii="宋体" w:hAnsi="宋体"/>
          <w:color w:val="auto"/>
          <w:sz w:val="24"/>
          <w:szCs w:val="24"/>
          <w:highlight w:val="none"/>
        </w:rPr>
        <w:t xml:space="preserve">张成东、孙颂</w:t>
      </w:r>
      <w:r>
        <w:rPr>
          <w:rFonts w:hint="eastAsia" w:ascii="宋体" w:hAnsi="宋体"/>
          <w:color w:val="auto"/>
          <w:sz w:val="24"/>
          <w:szCs w:val="24"/>
          <w:highlight w:val="none"/>
        </w:rPr>
        <w:tab/>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联系方式：0510-85886808</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传真：0510-85886808</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电子邮件地址：</w:t>
      </w:r>
      <w:r>
        <w:rPr>
          <w:rFonts w:hint="eastAsia" w:ascii="宋体" w:hAnsi="宋体"/>
          <w:bCs/>
          <w:color w:val="auto"/>
          <w:sz w:val="24"/>
          <w:highlight w:val="none"/>
        </w:rPr>
        <w:t xml:space="preserve">wxztzb@163.com</w:t>
      </w:r>
      <w:r/>
    </w:p>
    <w:p>
      <w:pPr>
        <w:jc w:val="center"/>
        <w:spacing w:line="490" w:lineRule="exact"/>
        <w:rPr>
          <w:rFonts w:hint="eastAsia" w:ascii="宋体" w:hAnsi="宋体" w:cs="宋体"/>
          <w:b/>
          <w:color w:val="auto"/>
          <w:sz w:val="32"/>
          <w:szCs w:val="32"/>
          <w:highlight w:val="none"/>
        </w:rPr>
        <w:outlineLvl w:val="0"/>
      </w:pPr>
      <w:r/>
      <w:bookmarkStart w:id="3" w:name="_Toc16116"/>
      <w:r/>
      <w:r/>
    </w:p>
    <w:p>
      <w:pPr>
        <w:jc w:val="center"/>
        <w:spacing w:line="490" w:lineRule="exact"/>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spacing w:line="490" w:lineRule="exact"/>
        <w:rPr>
          <w:color w:val="auto"/>
          <w:highlight w:val="none"/>
        </w:rPr>
        <w:outlineLvl w:val="0"/>
      </w:pPr>
      <w:r>
        <w:rPr>
          <w:color w:val="auto"/>
          <w:highlight w:val="none"/>
        </w:rPr>
      </w:r>
      <w:r/>
    </w:p>
    <w:p>
      <w:pPr>
        <w:spacing w:line="490" w:lineRule="exact"/>
        <w:rPr>
          <w:color w:val="auto"/>
          <w:highlight w:val="none"/>
        </w:rPr>
        <w:outlineLvl w:val="0"/>
      </w:pPr>
      <w:r>
        <w:rPr>
          <w:color w:val="auto"/>
          <w:highlight w:val="none"/>
        </w:rPr>
      </w:r>
      <w:r/>
    </w:p>
    <w:p>
      <w:pPr>
        <w:spacing w:line="490" w:lineRule="exact"/>
        <w:rPr>
          <w:color w:val="auto"/>
          <w:highlight w:val="none"/>
        </w:rPr>
        <w:outlineLvl w:val="0"/>
      </w:pPr>
      <w:r>
        <w:rPr>
          <w:color w:val="auto"/>
          <w:highlight w:val="none"/>
        </w:rPr>
      </w:r>
      <w:r/>
    </w:p>
    <w:p>
      <w:pPr>
        <w:spacing w:line="490" w:lineRule="exact"/>
        <w:rPr>
          <w:color w:val="auto"/>
          <w:highlight w:val="none"/>
        </w:rPr>
        <w:outlineLvl w:val="0"/>
      </w:pPr>
      <w:r>
        <w:rPr>
          <w:color w:val="auto"/>
          <w:highlight w:val="none"/>
        </w:rPr>
      </w:r>
      <w:r/>
    </w:p>
    <w:p>
      <w:pPr>
        <w:spacing w:line="490" w:lineRule="exact"/>
        <w:rPr>
          <w:color w:val="auto"/>
          <w:highlight w:val="none"/>
        </w:rPr>
        <w:outlineLvl w:val="0"/>
      </w:pPr>
      <w:r>
        <w:rPr>
          <w:color w:val="auto"/>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490" w:lineRule="exact"/>
        <w:rPr>
          <w:color w:val="auto"/>
          <w:highlight w:val="none"/>
        </w:rPr>
        <w:outlineLvl w:val="0"/>
      </w:pPr>
      <w:r>
        <w:rPr>
          <w:rFonts w:hint="eastAsia" w:ascii="宋体" w:hAnsi="宋体" w:cs="宋体"/>
          <w:b/>
          <w:color w:val="auto"/>
          <w:sz w:val="32"/>
          <w:szCs w:val="32"/>
          <w:highlight w:val="none"/>
        </w:rPr>
        <w:t xml:space="preserve">二、投标供应商须知</w:t>
      </w:r>
      <w:bookmarkEnd w:id="3"/>
      <w:r/>
      <w:r/>
    </w:p>
    <w:p>
      <w:pPr>
        <w:ind w:firstLine="480"/>
        <w:spacing w:line="36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（一） 遵循原则：</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公开透明原则、公平竞争原则、公正原则和诚实信用原则。</w:t>
      </w:r>
      <w:r/>
    </w:p>
    <w:p>
      <w:pPr>
        <w:numPr>
          <w:ilvl w:val="0"/>
          <w:numId w:val="3"/>
        </w:numPr>
        <w:spacing w:line="36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 招标文件：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2．投标供应商应向江苏信中天工程咨询有限公司获取文件及有关资料，按采购文件要求提交全部资料并对采购文件各项内容做出实质性响应，否则投标无效。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4．采购文件仅作为本次投标使用。</w:t>
      </w:r>
      <w:r/>
    </w:p>
    <w:p>
      <w:pPr>
        <w:ind w:firstLine="480"/>
        <w:spacing w:line="360" w:lineRule="auto"/>
        <w:tabs>
          <w:tab w:val="left" w:pos="630"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（三） 招标文件的解释：</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1．投标供应商如有需要对采购文件要求澄清的问题，请以书面提出，并按“投标邀请函”中规定的时间将电子邮件或书面传真发送至江苏信中天工程咨询有限公司，联系方式详见“投标邀请函”。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2．采购人、江苏信中天工程咨询有限公司将按“投标邀请函”中规定的时间对投标供应商针对采购文件书面提出的要求澄清的问题进行书面答疑。</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3．本文件的最终解释权归采购人。</w:t>
      </w:r>
      <w:r/>
    </w:p>
    <w:p>
      <w:pPr>
        <w:ind w:firstLine="523"/>
        <w:spacing w:line="360" w:lineRule="auto"/>
        <w:tabs>
          <w:tab w:val="left" w:pos="945"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（四） 招标文件的补充或修正： </w:t>
      </w:r>
      <w:r/>
    </w:p>
    <w:p>
      <w:pPr>
        <w:numPr>
          <w:ilvl w:val="0"/>
          <w:numId w:val="4"/>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如需对招标文件进行澄清或修正，采购人或采购代理机构将在江苏政府采购网上发布更正公告，该澄清或修正的内容为招标文件的组成部分。投标供应商应在投标截止时间前</w:t>
      </w:r>
      <w:r>
        <w:rPr>
          <w:rFonts w:hint="eastAsia" w:ascii="宋体" w:hAnsi="宋体" w:cs="宋体"/>
          <w:color w:val="auto"/>
          <w:sz w:val="24"/>
          <w:szCs w:val="24"/>
          <w:highlight w:val="none"/>
        </w:rPr>
        <w:t xml:space="preserve">登录</w:t>
      </w:r>
      <w:r>
        <w:rPr>
          <w:rFonts w:hint="eastAsia" w:ascii="宋体" w:hAnsi="宋体" w:cs="宋体"/>
          <w:bCs/>
          <w:color w:val="auto"/>
          <w:sz w:val="24"/>
          <w:szCs w:val="24"/>
          <w:highlight w:val="none"/>
        </w:rPr>
        <w:t xml:space="preserve">投标客户端</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关注原招标公告媒体上发布的相关更正公告</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因投标供应商未尽注意义务，未及时更新上传投标文件</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全面关注更正公告导致其提交的投标材料不符合招标文件要求，而造成的损失及风险（包括但不限于未中标）由投标供应商自行承担。</w:t>
      </w:r>
      <w:r/>
    </w:p>
    <w:p>
      <w:pPr>
        <w:numPr>
          <w:ilvl w:val="0"/>
          <w:numId w:val="4"/>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"http://download.ccgp.gov.cn/2018/zhiyihanfanben.zip" \t "_blank"</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政府采购供应商质疑函范本</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采购人或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（五）投标文件的组成（</w:t>
      </w:r>
      <w:r>
        <w:rPr>
          <w:rFonts w:hint="eastAsia" w:ascii="宋体" w:hAnsi="宋体" w:cs="宋体"/>
          <w:b/>
          <w:bCs/>
          <w:color w:val="auto"/>
          <w:sz w:val="24"/>
          <w:szCs w:val="24"/>
          <w:highlight w:val="none"/>
        </w:rPr>
        <w:t xml:space="preserve">相应内容上传至投标客户端</w:t>
      </w:r>
      <w:r>
        <w:rPr>
          <w:rFonts w:hint="eastAsia" w:ascii="宋体" w:hAnsi="宋体" w:cs="宋体"/>
          <w:bCs/>
          <w:color w:val="auto"/>
          <w:sz w:val="24"/>
          <w:szCs w:val="24"/>
          <w:highlight w:val="none"/>
        </w:rPr>
        <w:t xml:space="preserve">）：</w:t>
      </w:r>
      <w:r/>
    </w:p>
    <w:p>
      <w:pPr>
        <w:ind w:lef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第一部分：资格、资信证明文件（</w:t>
      </w:r>
      <w:r>
        <w:rPr>
          <w:rFonts w:hint="eastAsia" w:ascii="宋体" w:hAnsi="宋体" w:cs="宋体"/>
          <w:b/>
          <w:bCs/>
          <w:color w:val="auto"/>
          <w:sz w:val="24"/>
          <w:szCs w:val="24"/>
          <w:highlight w:val="none"/>
        </w:rPr>
        <w:t xml:space="preserve">扫描后上传，身份证应为正、反面</w:t>
      </w:r>
      <w:r>
        <w:rPr>
          <w:rFonts w:hint="eastAsia" w:ascii="宋体" w:hAnsi="宋体" w:cs="宋体"/>
          <w:bCs/>
          <w:color w:val="auto"/>
          <w:sz w:val="24"/>
          <w:szCs w:val="24"/>
          <w:highlight w:val="none"/>
        </w:rPr>
        <w:t xml:space="preserve">）：</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2.《授权委托书》（给定格式；投标人如是自然人情形的，可不提供）。</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4.投标人近一年中任意一个月份（不含投标当月）的依法缴纳税收的相关材料（提供相关主管部门证明或银行代扣证明）。</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5.投标人近一年中任意一个月份（不含投标当月）的依法缴纳社会保障资金的相关材料（提供相关主管部门证明或银行代扣证明）。</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eastAsia="zh-CN"/>
        </w:rPr>
        <w:t xml:space="preserve">承诺书</w:t>
      </w:r>
      <w:r>
        <w:rPr>
          <w:rFonts w:hint="eastAsia" w:ascii="宋体" w:hAnsi="宋体" w:cs="宋体"/>
          <w:bCs/>
          <w:color w:val="auto"/>
          <w:sz w:val="24"/>
          <w:szCs w:val="24"/>
          <w:highlight w:val="none"/>
        </w:rPr>
        <w:t xml:space="preserve">》（给定格式）。</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
          <w:color w:val="auto"/>
          <w:sz w:val="24"/>
          <w:highlight w:val="none"/>
        </w:rPr>
        <w:t xml:space="preserve">上述资格文件中的资格、资信文件必须按要求全部提供，否则投标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24"/>
        <w:jc w:val="left"/>
        <w:spacing w:line="360" w:lineRule="auto"/>
        <w:widowControl/>
        <w:tabs>
          <w:tab w:val="left" w:pos="0" w:leader="none"/>
        </w:tabs>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第二部分：补充证明文件：</w:t>
      </w:r>
      <w:r/>
    </w:p>
    <w:p>
      <w:pPr>
        <w:ind w:firstLine="424"/>
        <w:jc w:val="left"/>
        <w:spacing w:line="360" w:lineRule="auto"/>
        <w:widowControl/>
        <w:tabs>
          <w:tab w:val="left" w:pos="0" w:leader="none"/>
        </w:tabs>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1.投标供应商简介和经营情况说明；</w:t>
      </w:r>
      <w:r/>
    </w:p>
    <w:p>
      <w:pPr>
        <w:ind w:lef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2）投标函部分（格式见附件）：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（1）投标函（格式见附件）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（3）主要细目报价表（格式见附件）</w:t>
      </w:r>
      <w:r/>
    </w:p>
    <w:p>
      <w:pPr>
        <w:ind w:lef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3）拟投入本项目人员配备表（格式见附件）</w:t>
      </w:r>
      <w:r/>
    </w:p>
    <w:p>
      <w:pPr>
        <w:ind w:left="480"/>
        <w:spacing w:line="360" w:lineRule="auto"/>
        <w:rPr>
          <w:rFonts w:hint="eastAsia" w:ascii="宋体" w:hAnsi="宋体" w:cs="宋体"/>
          <w:b/>
          <w:bCs/>
          <w:color w:val="auto"/>
          <w:sz w:val="24"/>
          <w:szCs w:val="24"/>
          <w:highlight w:val="none"/>
        </w:rPr>
      </w:pPr>
      <w:r>
        <w:rPr>
          <w:rFonts w:hint="eastAsia" w:ascii="宋体" w:hAnsi="宋体" w:cs="宋体"/>
          <w:b/>
          <w:color w:val="auto"/>
          <w:sz w:val="24"/>
          <w:highlight w:val="none"/>
        </w:rPr>
        <w:t xml:space="preserve">4）投标</w:t>
      </w:r>
      <w:r>
        <w:rPr>
          <w:rFonts w:hint="eastAsia" w:ascii="宋体" w:hAnsi="宋体" w:cs="宋体"/>
          <w:b/>
          <w:bCs/>
          <w:color w:val="auto"/>
          <w:sz w:val="24"/>
          <w:szCs w:val="24"/>
          <w:highlight w:val="none"/>
        </w:rPr>
        <w:t xml:space="preserve">偏离表（格式）</w:t>
      </w:r>
      <w:r/>
    </w:p>
    <w:p>
      <w:pPr>
        <w:ind w:left="480"/>
        <w:spacing w:line="360" w:lineRule="auto"/>
        <w:rPr>
          <w:rFonts w:hint="eastAsia" w:ascii="宋体" w:hAnsi="宋体" w:cs="宋体"/>
          <w:b/>
          <w:color w:val="auto"/>
          <w:sz w:val="24"/>
          <w:highlight w:val="none"/>
        </w:rPr>
      </w:pPr>
      <w:r>
        <w:rPr>
          <w:rFonts w:hint="eastAsia" w:ascii="宋体" w:hAnsi="宋体" w:cs="宋体"/>
          <w:b/>
          <w:bCs/>
          <w:color w:val="auto"/>
          <w:sz w:val="24"/>
          <w:szCs w:val="24"/>
          <w:highlight w:val="none"/>
        </w:rPr>
        <w:t xml:space="preserve">5）其他及补充性文件(投标供应商认为有必要提供的声明和文件及评分标准中对应的所需证明材料，如有自拟并自行添加至投标文件中)</w:t>
      </w:r>
      <w:r/>
    </w:p>
    <w:p>
      <w:pPr>
        <w:ind w:left="1" w:firstLine="523"/>
        <w:spacing w:line="360" w:lineRule="auto"/>
        <w:tabs>
          <w:tab w:val="left" w:pos="525" w:leader="none"/>
          <w:tab w:val="left" w:pos="945" w:leader="none"/>
        </w:tabs>
        <w:rPr>
          <w:rFonts w:hint="eastAsia" w:ascii="宋体" w:hAnsi="宋体" w:cs="宋体"/>
          <w:color w:val="auto"/>
          <w:highlight w:val="none"/>
        </w:rPr>
        <w:outlineLvl w:val="2"/>
      </w:pPr>
      <w:r>
        <w:rPr>
          <w:rFonts w:hint="eastAsia" w:ascii="宋体" w:hAnsi="宋体" w:cs="宋体"/>
          <w:b/>
          <w:color w:val="auto"/>
          <w:sz w:val="24"/>
          <w:highlight w:val="none"/>
        </w:rPr>
        <w:t xml:space="preserve">6）技术文件（</w:t>
      </w:r>
      <w:r>
        <w:rPr>
          <w:rFonts w:hint="eastAsia" w:ascii="宋体" w:hAnsi="宋体" w:cs="宋体"/>
          <w:b/>
          <w:color w:val="auto"/>
          <w:sz w:val="24"/>
          <w:szCs w:val="24"/>
          <w:highlight w:val="none"/>
        </w:rPr>
        <w:t xml:space="preserve">根据评分标准内容，格式自拟</w:t>
      </w:r>
      <w:r>
        <w:rPr>
          <w:rFonts w:hint="eastAsia" w:ascii="宋体" w:hAnsi="宋体" w:cs="宋体"/>
          <w:b/>
          <w:color w:val="auto"/>
          <w:sz w:val="24"/>
          <w:highlight w:val="none"/>
        </w:rPr>
        <w:t xml:space="preserve">）</w:t>
      </w:r>
      <w:r/>
    </w:p>
    <w:p>
      <w:pPr>
        <w:ind w:firstLine="480"/>
        <w:spacing w:line="36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（六）投标文件的制作：</w:t>
      </w:r>
      <w:r/>
    </w:p>
    <w:p>
      <w:pPr>
        <w:ind w:firstLine="480"/>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5.投标文件份数：本项目为不见面开标，报价人无需递交纸质投标文件至现场，中标后中标供应商向采购人提供与电子投标文件完全一致的纸质投标文件（3份：一正、二副）。</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供应商应由其法定代表人或法定代表人授权代表在规定的网上投标时间内，凭CA数字证书登录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2.投标供应商应对CA数字证书妥善保管，如被他人盗用投标，后果自负。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3.投标供应商按招标文件规定的</w:t>
      </w:r>
      <w:r>
        <w:rPr>
          <w:rFonts w:hint="eastAsia" w:ascii="宋体" w:hAnsi="宋体" w:cs="宋体"/>
          <w:color w:val="auto"/>
          <w:sz w:val="24"/>
          <w:szCs w:val="24"/>
          <w:highlight w:val="none"/>
        </w:rPr>
        <w:t xml:space="preserve">网上解密时间</w:t>
      </w:r>
      <w:r>
        <w:rPr>
          <w:rFonts w:hint="eastAsia" w:ascii="宋体" w:hAnsi="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4.投标供应商应当对招标文件提出的要求和条件作出实质性响应，并在电子投标系统逐条应答。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5.投标供应商应对要求提供的资格证明文件（如资质证书、资格证书）、技术资料（如白皮书、彩页、手册、检测报告等）扫描上传至投标系统。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6.投标供应商进行网上</w:t>
      </w:r>
      <w:r>
        <w:rPr>
          <w:rFonts w:hint="eastAsia" w:ascii="宋体" w:hAnsi="宋体" w:cs="宋体"/>
          <w:color w:val="auto"/>
          <w:sz w:val="24"/>
          <w:szCs w:val="24"/>
          <w:highlight w:val="none"/>
        </w:rPr>
        <w:t xml:space="preserve">投标</w:t>
      </w:r>
      <w:r>
        <w:rPr>
          <w:rFonts w:hint="eastAsia" w:ascii="宋体" w:hAnsi="宋体" w:cs="宋体"/>
          <w:bCs/>
          <w:color w:val="auto"/>
          <w:sz w:val="24"/>
          <w:szCs w:val="24"/>
          <w:highlight w:val="none"/>
        </w:rPr>
        <w:t xml:space="preserve">请参照《</w:t>
      </w:r>
      <w:r>
        <w:rPr>
          <w:rFonts w:hint="eastAsia" w:ascii="宋体" w:hAnsi="宋体" w:cs="宋体"/>
          <w:bCs/>
          <w:color w:val="auto"/>
          <w:sz w:val="24"/>
          <w:szCs w:val="24"/>
          <w:highlight w:val="none"/>
          <w:lang w:val="zh-CN"/>
        </w:rPr>
        <w:t xml:space="preserve">江苏省政府采购交易系统（苏采云）供应商操作手册</w:t>
      </w:r>
      <w:r>
        <w:rPr>
          <w:rFonts w:hint="eastAsia" w:ascii="宋体" w:hAnsi="宋体" w:cs="宋体"/>
          <w:color w:val="auto"/>
          <w:sz w:val="24"/>
          <w:szCs w:val="24"/>
          <w:highlight w:val="none"/>
        </w:rPr>
        <w:t xml:space="preserve">》。</w:t>
      </w:r>
      <w:r/>
    </w:p>
    <w:p>
      <w:pPr>
        <w:ind w:firstLine="480"/>
        <w:spacing w:line="430" w:lineRule="exact"/>
        <w:rPr>
          <w:rFonts w:hint="eastAsia" w:ascii="宋体" w:hAnsi="宋体" w:cs="宋体"/>
          <w:b/>
          <w:bCs/>
          <w:color w:val="auto"/>
          <w:sz w:val="24"/>
          <w:szCs w:val="24"/>
          <w:highlight w:val="none"/>
        </w:rPr>
        <w:outlineLvl w:val="0"/>
      </w:pPr>
      <w:r>
        <w:rPr>
          <w:rFonts w:hint="eastAsia" w:ascii="宋体" w:hAnsi="宋体" w:cs="宋体"/>
          <w:bCs/>
          <w:color w:val="auto"/>
          <w:sz w:val="24"/>
          <w:szCs w:val="24"/>
          <w:highlight w:val="none"/>
        </w:rPr>
        <w:t xml:space="preserve">（八）报价要求：</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1.投标报价应包括人员工资、</w:t>
      </w:r>
      <w:r>
        <w:rPr>
          <w:rFonts w:hint="eastAsia" w:ascii="宋体" w:hAnsi="宋体" w:cs="宋体"/>
          <w:color w:val="auto"/>
          <w:sz w:val="24"/>
          <w:szCs w:val="21"/>
          <w:highlight w:val="none"/>
          <w:lang w:val="zh-CN"/>
        </w:rPr>
        <w:t xml:space="preserve">差旅食宿费、文印费、资料搜集、综合整理、文本编制、图件编制、资料费、</w:t>
      </w:r>
      <w:r>
        <w:rPr>
          <w:rFonts w:hint="eastAsia" w:ascii="宋体" w:hAnsi="宋体" w:cs="宋体"/>
          <w:color w:val="auto"/>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（九）无效投标文件的确认：</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投标供应商有下列情况之一者，投标文件无效：</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1.未按规定在江苏省政府采购管理交易系统（苏采云）首页入口进行供应商注册的；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3.电子投标文件未按招标文件要求签章的；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4.投标供应商的被授权代表无法定代表人授权委托书的；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6.投标文件未按采购文件规定的格式、内容和要求填写、制作的；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7.投标文件书写潦草、字迹模糊不清、无法辨认的；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8.投标文件中有采购文件未允许提供的选择性内容的；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9.未按采购文件要求解密电子投标文件的；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11.投标文件未按要求制作、递交的；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15.不同投标供应商委托同一单位或者个人办理投标事宜；</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19.不同投标供应商投标文件相互混装的；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20.不同投标供应商投标文件中的项目相关人员出现同一人的；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24.投标文件被本项目评委确认为无效投标文件的；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26.未按要求提供技术文件的；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31.同一投标文件中单位名称落款与公章不是同一单位的；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36.投标文件内容不全或不符合招标文件中规定的其他实质性要求的；</w:t>
      </w:r>
      <w:r/>
    </w:p>
    <w:p>
      <w:pPr>
        <w:ind w:left="1" w:firstLine="523"/>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37.法律法规和招标文件规定的其他无效情形。</w:t>
      </w:r>
      <w:r/>
    </w:p>
    <w:p>
      <w:pPr>
        <w:ind w:left="1" w:firstLine="523"/>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38.投标供应商未响应采购人提供的采购清单。</w:t>
      </w:r>
      <w:r/>
    </w:p>
    <w:p>
      <w:pPr>
        <w:ind w:firstLine="480"/>
        <w:spacing w:line="360" w:lineRule="auto"/>
        <w:tabs>
          <w:tab w:val="left" w:pos="945"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zh-CN"/>
        </w:rPr>
        <w:t xml:space="preserve">采购人按</w:t>
      </w:r>
      <w:r>
        <w:rPr>
          <w:rFonts w:hint="eastAsia" w:ascii="宋体" w:hAnsi="宋体" w:cs="宋体"/>
          <w:bCs/>
          <w:color w:val="auto"/>
          <w:sz w:val="24"/>
          <w:szCs w:val="24"/>
          <w:highlight w:val="none"/>
        </w:rPr>
        <w:t xml:space="preserve">招标</w:t>
      </w:r>
      <w:r>
        <w:rPr>
          <w:rFonts w:hint="eastAsia" w:ascii="宋体" w:hAnsi="宋体" w:cs="宋体"/>
          <w:bCs/>
          <w:color w:val="auto"/>
          <w:sz w:val="24"/>
          <w:szCs w:val="24"/>
          <w:highlight w:val="none"/>
          <w:lang w:val="zh-CN"/>
        </w:rPr>
        <w:t xml:space="preserve">文件规定的时间在“苏采云开标大厅”召开开标大会。</w:t>
      </w:r>
      <w:r>
        <w:rPr>
          <w:rFonts w:hint="eastAsia" w:ascii="宋体" w:hAnsi="宋体" w:cs="宋体"/>
          <w:bCs/>
          <w:color w:val="auto"/>
          <w:sz w:val="24"/>
          <w:szCs w:val="24"/>
          <w:highlight w:val="none"/>
        </w:rPr>
        <w:t xml:space="preserve">供应商</w:t>
      </w:r>
      <w:r>
        <w:rPr>
          <w:rFonts w:hint="eastAsia" w:ascii="宋体" w:hAnsi="宋体" w:cs="宋体"/>
          <w:bCs/>
          <w:color w:val="auto"/>
          <w:sz w:val="24"/>
          <w:szCs w:val="24"/>
          <w:highlight w:val="none"/>
          <w:lang w:val="zh-CN"/>
        </w:rPr>
        <w:t xml:space="preserve">应当在</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zh-CN"/>
        </w:rPr>
        <w:t xml:space="preserve">前做好充分准备，携带 CA 数字证书准时参加</w:t>
      </w:r>
      <w:r>
        <w:rPr>
          <w:rFonts w:hint="eastAsia" w:ascii="宋体" w:hAnsi="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w:t>
      </w:r>
      <w:r>
        <w:rPr>
          <w:rFonts w:hint="eastAsia" w:ascii="宋体" w:hAnsi="宋体" w:cs="宋体"/>
          <w:bCs/>
          <w:color w:val="auto"/>
          <w:sz w:val="24"/>
          <w:szCs w:val="24"/>
          <w:highlight w:val="none"/>
          <w:lang w:val="zh-CN"/>
        </w:rPr>
        <w:t xml:space="preserve">文件递交截止时间后，采购</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rPr>
        <w:t xml:space="preserve">投标</w:t>
      </w:r>
      <w:r>
        <w:rPr>
          <w:rFonts w:hint="eastAsia" w:ascii="宋体" w:hAnsi="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不在要求时限内完成解密等自身原因，导致</w:t>
      </w:r>
      <w:r>
        <w:rPr>
          <w:rFonts w:hint="eastAsia" w:ascii="宋体" w:hAnsi="宋体" w:cs="宋体"/>
          <w:bCs/>
          <w:color w:val="auto"/>
          <w:sz w:val="24"/>
          <w:szCs w:val="24"/>
          <w:highlight w:val="none"/>
        </w:rPr>
        <w:t xml:space="preserve">投标</w:t>
      </w:r>
      <w:r>
        <w:rPr>
          <w:rFonts w:hint="eastAsia" w:ascii="宋体" w:hAnsi="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rPr>
        <w:t xml:space="preserve">投标</w:t>
      </w:r>
      <w:r>
        <w:rPr>
          <w:rFonts w:hint="eastAsia" w:ascii="宋体" w:hAnsi="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rPr>
        <w:t xml:space="preserve">投标</w:t>
      </w:r>
      <w:r>
        <w:rPr>
          <w:rFonts w:hint="eastAsia" w:ascii="宋体" w:hAnsi="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含多把副锁</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rPr>
        <w:t xml:space="preserve">投标</w:t>
      </w:r>
      <w:r>
        <w:rPr>
          <w:rFonts w:hint="eastAsia" w:ascii="宋体" w:hAnsi="宋体" w:cs="宋体"/>
          <w:bCs/>
          <w:color w:val="auto"/>
          <w:sz w:val="24"/>
          <w:szCs w:val="24"/>
          <w:highlight w:val="none"/>
          <w:lang w:val="zh-CN"/>
        </w:rPr>
        <w:t xml:space="preserve">文件递交</w:t>
      </w:r>
      <w:r>
        <w:rPr>
          <w:rFonts w:hint="eastAsia" w:ascii="宋体" w:hAnsi="宋体" w:cs="宋体"/>
          <w:bCs/>
          <w:color w:val="auto"/>
          <w:sz w:val="24"/>
          <w:szCs w:val="24"/>
          <w:highlight w:val="none"/>
        </w:rPr>
        <w:t xml:space="preserve">截止时间后参加投标的供应商或解密投标文件的供应商不足三家的，不开标；开标后，所有投标供应商可在线上开标大厅中看到所有投标供应商的投标报价；</w:t>
      </w:r>
      <w:r/>
    </w:p>
    <w:p>
      <w:pPr>
        <w:numPr>
          <w:ilvl w:val="1"/>
          <w:numId w:val="0"/>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0"/>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5．投标供应商未参加开标的，视同认可开标结果。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6．评标程序</w:t>
      </w:r>
      <w:r/>
    </w:p>
    <w:p>
      <w:pPr>
        <w:ind w:firstLine="523"/>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评标工作由采购代理机构负责组织，具体评标事务由依法组建的评标委员会负责。</w:t>
      </w:r>
      <w:r/>
    </w:p>
    <w:p>
      <w:pPr>
        <w:ind w:firstLine="523"/>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（1）</w:t>
      </w:r>
      <w:r>
        <w:rPr>
          <w:rFonts w:hint="eastAsia" w:ascii="宋体" w:hAnsi="宋体" w:cs="宋体"/>
          <w:bCs/>
          <w:color w:val="auto"/>
          <w:sz w:val="24"/>
          <w:highlight w:val="none"/>
        </w:rPr>
        <w:t xml:space="preserve">投标文件初审。初审分为资格性检查和符合性检查。</w:t>
      </w:r>
      <w:r/>
    </w:p>
    <w:p>
      <w:pPr>
        <w:ind w:firstLine="480"/>
        <w:spacing w:line="360" w:lineRule="auto"/>
        <w:tabs>
          <w:tab w:val="left" w:pos="840"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①投标文件资格审查由</w:t>
      </w:r>
      <w:bookmarkStart w:id="4" w:name="OLE_LINK22"/>
      <w:r>
        <w:rPr>
          <w:rFonts w:hint="eastAsia" w:ascii="宋体" w:hAnsi="宋体"/>
          <w:bCs/>
          <w:color w:val="auto"/>
          <w:sz w:val="24"/>
          <w:szCs w:val="24"/>
          <w:highlight w:val="none"/>
        </w:rPr>
        <w:t xml:space="preserve">采购代理机构</w:t>
      </w:r>
      <w:bookmarkEnd w:id="4"/>
      <w:r>
        <w:rPr>
          <w:rFonts w:hint="eastAsia" w:ascii="宋体" w:hAnsi="宋体"/>
          <w:bCs/>
          <w:color w:val="auto"/>
          <w:sz w:val="24"/>
          <w:szCs w:val="24"/>
          <w:highlight w:val="none"/>
        </w:rPr>
        <w:t xml:space="preserve">负责。</w:t>
      </w:r>
      <w:r/>
    </w:p>
    <w:p>
      <w:pPr>
        <w:ind w:firstLine="480"/>
        <w:spacing w:line="360" w:lineRule="auto"/>
        <w:tabs>
          <w:tab w:val="left" w:pos="52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w:t>
      </w:r>
      <w:r>
        <w:rPr>
          <w:rFonts w:ascii="宋体" w:hAnsi="宋体"/>
          <w:bCs/>
          <w:color w:val="auto"/>
          <w:sz w:val="24"/>
          <w:szCs w:val="24"/>
          <w:highlight w:val="none"/>
        </w:rPr>
        <w:t xml:space="preserve">依据法律法规和</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的规定，对</w:t>
      </w:r>
      <w:r>
        <w:rPr>
          <w:rFonts w:hint="eastAsia" w:ascii="宋体" w:hAnsi="宋体"/>
          <w:bCs/>
          <w:color w:val="auto"/>
          <w:sz w:val="24"/>
          <w:szCs w:val="24"/>
          <w:highlight w:val="none"/>
        </w:rPr>
        <w:t xml:space="preserve">投标文件</w:t>
      </w:r>
      <w:r>
        <w:rPr>
          <w:rFonts w:ascii="宋体" w:hAnsi="宋体"/>
          <w:bCs/>
          <w:color w:val="auto"/>
          <w:sz w:val="24"/>
          <w:szCs w:val="24"/>
          <w:highlight w:val="none"/>
        </w:rPr>
        <w:t xml:space="preserve">中的资格</w:t>
      </w:r>
      <w:r>
        <w:rPr>
          <w:rFonts w:hint="eastAsia" w:ascii="宋体" w:hAnsi="宋体"/>
          <w:bCs/>
          <w:color w:val="auto"/>
          <w:sz w:val="24"/>
          <w:szCs w:val="24"/>
          <w:highlight w:val="none"/>
        </w:rPr>
        <w:t xml:space="preserve">、资信</w:t>
      </w:r>
      <w:r>
        <w:rPr>
          <w:rFonts w:ascii="宋体" w:hAnsi="宋体"/>
          <w:bCs/>
          <w:color w:val="auto"/>
          <w:sz w:val="24"/>
          <w:szCs w:val="24"/>
          <w:highlight w:val="none"/>
        </w:rPr>
        <w:t xml:space="preserve">证明等进行审查，以确定投标供应商</w:t>
      </w:r>
      <w:r>
        <w:rPr>
          <w:rFonts w:hint="eastAsia" w:ascii="宋体" w:hAnsi="宋体"/>
          <w:bCs/>
          <w:color w:val="auto"/>
          <w:sz w:val="24"/>
          <w:szCs w:val="24"/>
          <w:highlight w:val="none"/>
        </w:rPr>
        <w:t xml:space="preserve">提供资格、资信证明的合法性、真实性，</w:t>
      </w:r>
      <w:r>
        <w:rPr>
          <w:rFonts w:ascii="宋体" w:hAnsi="宋体"/>
          <w:bCs/>
          <w:color w:val="auto"/>
          <w:sz w:val="24"/>
          <w:szCs w:val="24"/>
          <w:highlight w:val="none"/>
        </w:rPr>
        <w:t xml:space="preserve">是否具备投标资格</w:t>
      </w:r>
      <w:r>
        <w:rPr>
          <w:rFonts w:hint="eastAsia" w:ascii="宋体" w:hAnsi="宋体"/>
          <w:bCs/>
          <w:color w:val="auto"/>
          <w:sz w:val="24"/>
          <w:szCs w:val="24"/>
          <w:highlight w:val="none"/>
        </w:rPr>
        <w:t xml:space="preserve">。</w:t>
      </w:r>
      <w:r/>
    </w:p>
    <w:p>
      <w:pPr>
        <w:ind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③符合性检查。评标委员会依据招标文件的规定，从投标文件的有效性、完整性和对招标文件的响应程度进行审查，以确定是否对招标文件的实质性要求作出响应。</w:t>
      </w:r>
      <w:r/>
    </w:p>
    <w:p>
      <w:pPr>
        <w:ind w:firstLine="523"/>
        <w:spacing w:line="360" w:lineRule="auto"/>
        <w:tabs>
          <w:tab w:val="left" w:pos="525" w:leader="none"/>
          <w:tab w:val="left" w:pos="945" w:leader="none"/>
          <w:tab w:val="left" w:pos="1155" w:leader="none"/>
        </w:tabs>
        <w:rPr>
          <w:rFonts w:eastAsia="Times New Roman"/>
          <w:bCs/>
          <w:color w:val="auto"/>
          <w:sz w:val="24"/>
          <w:szCs w:val="24"/>
          <w:highlight w:val="none"/>
        </w:rPr>
      </w:pPr>
      <w:r>
        <w:rPr>
          <w:rFonts w:hint="eastAsia" w:eastAsia="Times New Roman"/>
          <w:bCs/>
          <w:color w:val="auto"/>
          <w:sz w:val="24"/>
          <w:szCs w:val="24"/>
          <w:highlight w:val="none"/>
        </w:rPr>
        <w:t xml:space="preserve">评审中出现下列情形之一的，评审委员会应当启动异常低价投标（响应）审查程序：</w:t>
      </w:r>
      <w:r/>
    </w:p>
    <w:p>
      <w:pPr>
        <w:ind w:firstLine="523"/>
        <w:spacing w:line="360" w:lineRule="auto"/>
        <w:tabs>
          <w:tab w:val="left" w:pos="525" w:leader="none"/>
          <w:tab w:val="left" w:pos="945" w:leader="none"/>
          <w:tab w:val="left" w:pos="1155" w:leader="none"/>
        </w:tabs>
        <w:rPr>
          <w:rFonts w:eastAsia="Times New Roman"/>
          <w:bCs/>
          <w:color w:val="auto"/>
          <w:sz w:val="24"/>
          <w:szCs w:val="24"/>
          <w:highlight w:val="none"/>
        </w:rPr>
      </w:pPr>
      <w:r>
        <w:rPr>
          <w:rFonts w:hint="eastAsia" w:eastAsia="Times New Roman"/>
          <w:bCs/>
          <w:color w:val="auto"/>
          <w:sz w:val="24"/>
          <w:szCs w:val="24"/>
          <w:highlight w:val="none"/>
        </w:rPr>
        <w:t xml:space="preserve">① 投标（响应）报价低于全部通过符合性审查供应商投标（响应）报价平均值50%的，即投标（响应）报价&lt;全部通过符合性审查供应商投标（响应）报价平均值×50%；</w:t>
      </w:r>
      <w:r/>
    </w:p>
    <w:p>
      <w:pPr>
        <w:ind w:firstLine="523"/>
        <w:spacing w:line="360" w:lineRule="auto"/>
        <w:tabs>
          <w:tab w:val="left" w:pos="525" w:leader="none"/>
          <w:tab w:val="left" w:pos="945" w:leader="none"/>
          <w:tab w:val="left" w:pos="1155" w:leader="none"/>
        </w:tabs>
        <w:rPr>
          <w:rFonts w:eastAsia="Times New Roman"/>
          <w:bCs/>
          <w:color w:val="auto"/>
          <w:sz w:val="24"/>
          <w:szCs w:val="24"/>
          <w:highlight w:val="none"/>
        </w:rPr>
      </w:pPr>
      <w:r>
        <w:rPr>
          <w:rFonts w:hint="eastAsia" w:eastAsia="Times New Roman"/>
          <w:bCs/>
          <w:color w:val="auto"/>
          <w:sz w:val="24"/>
          <w:szCs w:val="24"/>
          <w:highlight w:val="none"/>
        </w:rPr>
        <w:t xml:space="preserve">② 投标（响应）报价低于通过符合性审查的次低报价供应商投标（响应）报价50%的，即投标（响应）报价&lt;通过符合性审查的次低报价供应商投标（响应）报价×50%；</w:t>
      </w:r>
      <w:r/>
    </w:p>
    <w:p>
      <w:pPr>
        <w:ind w:firstLine="523"/>
        <w:spacing w:line="360" w:lineRule="auto"/>
        <w:tabs>
          <w:tab w:val="left" w:pos="525" w:leader="none"/>
          <w:tab w:val="left" w:pos="945" w:leader="none"/>
          <w:tab w:val="left" w:pos="1155" w:leader="none"/>
        </w:tabs>
        <w:rPr>
          <w:rFonts w:eastAsia="Times New Roman"/>
          <w:bCs/>
          <w:color w:val="auto"/>
          <w:sz w:val="24"/>
          <w:szCs w:val="24"/>
          <w:highlight w:val="none"/>
        </w:rPr>
      </w:pPr>
      <w:r>
        <w:rPr>
          <w:rFonts w:hint="eastAsia" w:eastAsia="Times New Roman"/>
          <w:bCs/>
          <w:color w:val="auto"/>
          <w:sz w:val="24"/>
          <w:szCs w:val="24"/>
          <w:highlight w:val="none"/>
        </w:rPr>
        <w:t xml:space="preserve">③ 投标（响应）报价低于采购项目最高限价45%的，即投标（响应）报价&lt;采购项目最高限价×45%；</w:t>
      </w:r>
      <w:r/>
    </w:p>
    <w:p>
      <w:pPr>
        <w:ind w:firstLine="523"/>
        <w:spacing w:line="360" w:lineRule="auto"/>
        <w:tabs>
          <w:tab w:val="left" w:pos="525" w:leader="none"/>
          <w:tab w:val="left" w:pos="945" w:leader="none"/>
          <w:tab w:val="left" w:pos="1155" w:leader="none"/>
        </w:tabs>
        <w:rPr>
          <w:rFonts w:eastAsia="Times New Roman"/>
          <w:bCs/>
          <w:color w:val="auto"/>
          <w:sz w:val="24"/>
          <w:szCs w:val="24"/>
          <w:highlight w:val="none"/>
        </w:rPr>
      </w:pPr>
      <w:r>
        <w:rPr>
          <w:rFonts w:hint="eastAsia" w:eastAsia="Times New Roman"/>
          <w:bCs/>
          <w:color w:val="auto"/>
          <w:sz w:val="24"/>
          <w:szCs w:val="24"/>
          <w:highlight w:val="none"/>
        </w:rPr>
        <w:t xml:space="preserve">④ 评审委员会基于专业判断，认为供应商报价过低，有可能影响产品质量或者不能诚信履约的其他情形。</w:t>
      </w:r>
      <w:r/>
    </w:p>
    <w:p>
      <w:pPr>
        <w:ind w:firstLine="523"/>
        <w:spacing w:line="360" w:lineRule="auto"/>
        <w:tabs>
          <w:tab w:val="left" w:pos="525" w:leader="none"/>
          <w:tab w:val="left" w:pos="945" w:leader="none"/>
          <w:tab w:val="left" w:pos="1155" w:leader="none"/>
        </w:tabs>
        <w:rPr>
          <w:rFonts w:eastAsia="Times New Roman"/>
          <w:bCs/>
          <w:color w:val="auto"/>
          <w:sz w:val="24"/>
          <w:szCs w:val="24"/>
          <w:highlight w:val="none"/>
        </w:rPr>
      </w:pPr>
      <w:r>
        <w:rPr>
          <w:rFonts w:hint="eastAsia" w:eastAsia="Times New Roman"/>
          <w:bCs/>
          <w:color w:val="auto"/>
          <w:sz w:val="24"/>
          <w:szCs w:val="24"/>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523"/>
        <w:spacing w:line="360" w:lineRule="auto"/>
        <w:tabs>
          <w:tab w:val="left" w:pos="525" w:leader="none"/>
          <w:tab w:val="left" w:pos="945" w:leader="none"/>
          <w:tab w:val="left" w:pos="115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（2）</w:t>
      </w: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cs="宋体"/>
          <w:bCs/>
          <w:color w:val="auto"/>
          <w:sz w:val="24"/>
          <w:highlight w:val="none"/>
        </w:rPr>
        <w:t xml:space="preserve">通过</w:t>
      </w:r>
      <w:r>
        <w:rPr>
          <w:rFonts w:hint="eastAsia" w:ascii="宋体" w:hAnsi="宋体" w:cs="宋体"/>
          <w:bCs/>
          <w:color w:val="auto"/>
          <w:sz w:val="24"/>
          <w:szCs w:val="24"/>
          <w:highlight w:val="none"/>
        </w:rPr>
        <w:t xml:space="preserve">政府采购交易管理一体化系统</w:t>
      </w:r>
      <w:r>
        <w:rPr>
          <w:rFonts w:hint="eastAsia" w:ascii="宋体" w:hAnsi="宋体" w:cs="宋体"/>
          <w:bCs/>
          <w:color w:val="auto"/>
          <w:sz w:val="24"/>
          <w:highlight w:val="none"/>
        </w:rPr>
        <w:t xml:space="preserve">发起询标</w:t>
      </w:r>
      <w:r>
        <w:rPr>
          <w:rFonts w:hint="eastAsia" w:ascii="宋体" w:hAnsi="宋体" w:cs="宋体"/>
          <w:bCs/>
          <w:color w:val="auto"/>
          <w:sz w:val="24"/>
          <w:szCs w:val="24"/>
          <w:highlight w:val="none"/>
        </w:rPr>
        <w:t xml:space="preserve">要求投标供应商作出必要的澄清、说明或者纠正。投标供应商的澄清、说明或者补正应当</w:t>
      </w:r>
      <w:r>
        <w:rPr>
          <w:rFonts w:hint="eastAsia" w:ascii="宋体" w:hAnsi="宋体" w:cs="宋体"/>
          <w:bCs/>
          <w:color w:val="auto"/>
          <w:sz w:val="24"/>
          <w:highlight w:val="none"/>
        </w:rPr>
        <w:t xml:space="preserve">通过</w:t>
      </w:r>
      <w:r>
        <w:rPr>
          <w:rFonts w:hint="eastAsia" w:ascii="宋体" w:hAnsi="宋体" w:cs="宋体"/>
          <w:bCs/>
          <w:color w:val="auto"/>
          <w:sz w:val="24"/>
          <w:szCs w:val="24"/>
          <w:highlight w:val="none"/>
        </w:rPr>
        <w:t xml:space="preserve">政府采购交易管理一体化系统，由其授权的代表</w:t>
      </w:r>
      <w:r>
        <w:rPr>
          <w:rFonts w:hint="eastAsia" w:ascii="宋体" w:hAnsi="宋体" w:cs="宋体"/>
          <w:bCs/>
          <w:color w:val="auto"/>
          <w:sz w:val="24"/>
          <w:highlight w:val="none"/>
        </w:rPr>
        <w:t xml:space="preserve">应答并加盖电子公章，且不得超出投标文件的范围或者改变投标文件的实质性内容</w:t>
      </w:r>
      <w:r>
        <w:rPr>
          <w:rFonts w:hint="eastAsia" w:ascii="宋体" w:hAnsi="宋体" w:cs="宋体"/>
          <w:bCs/>
          <w:color w:val="auto"/>
          <w:sz w:val="24"/>
          <w:szCs w:val="24"/>
          <w:highlight w:val="none"/>
        </w:rPr>
        <w:t xml:space="preserve">。</w:t>
      </w:r>
      <w:r/>
    </w:p>
    <w:p>
      <w:pPr>
        <w:ind w:firstLine="523"/>
        <w:spacing w:line="360" w:lineRule="auto"/>
        <w:tabs>
          <w:tab w:val="left" w:pos="945" w:leader="none"/>
          <w:tab w:val="left" w:pos="1155" w:leader="none"/>
          <w:tab w:val="left" w:pos="136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（3）</w:t>
      </w:r>
      <w:r>
        <w:rPr>
          <w:rFonts w:hint="eastAsia" w:ascii="宋体" w:hAnsi="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7．评标方法</w:t>
      </w:r>
      <w:r/>
    </w:p>
    <w:p>
      <w:pPr>
        <w:ind w:firstLine="523"/>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投标供应商通过初审的，方可进入</w:t>
      </w:r>
      <w:r>
        <w:rPr>
          <w:rFonts w:hint="eastAsia" w:ascii="宋体" w:hAnsi="宋体" w:cs="宋体"/>
          <w:bCs/>
          <w:color w:val="auto"/>
          <w:sz w:val="24"/>
          <w:highlight w:val="none"/>
        </w:rPr>
        <w:t xml:space="preserve">比较与评价程序</w:t>
      </w:r>
      <w:r>
        <w:rPr>
          <w:rFonts w:hint="eastAsia" w:ascii="宋体" w:hAnsi="宋体" w:cs="宋体"/>
          <w:bCs/>
          <w:color w:val="auto"/>
          <w:sz w:val="24"/>
          <w:szCs w:val="24"/>
          <w:highlight w:val="none"/>
        </w:rPr>
        <w:t xml:space="preserve">。</w:t>
      </w:r>
      <w:r/>
    </w:p>
    <w:p>
      <w:pPr>
        <w:ind w:firstLine="523"/>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比较与评价</w:t>
      </w:r>
      <w:r>
        <w:rPr>
          <w:rFonts w:hint="eastAsia" w:ascii="宋体" w:hAnsi="宋体" w:cs="宋体"/>
          <w:bCs/>
          <w:color w:val="auto"/>
          <w:sz w:val="24"/>
          <w:szCs w:val="24"/>
          <w:highlight w:val="none"/>
        </w:rPr>
        <w:t xml:space="preserve">采用综合评分法。 </w:t>
      </w:r>
      <w:r/>
    </w:p>
    <w:p>
      <w:pPr>
        <w:ind w:firstLine="523"/>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cs="宋体"/>
          <w:bCs/>
          <w:color w:val="auto"/>
          <w:sz w:val="24"/>
          <w:highlight w:val="none"/>
        </w:rPr>
        <w:t xml:space="preserve">按技术标指标优劣顺序排列。</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8．评分标准</w:t>
      </w:r>
      <w:r/>
    </w:p>
    <w:p>
      <w:pPr>
        <w:ind w:left="524"/>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详见附件。</w:t>
      </w:r>
      <w:r/>
    </w:p>
    <w:p>
      <w:pPr>
        <w:ind w:firstLine="480"/>
        <w:spacing w:line="360" w:lineRule="auto"/>
        <w:tabs>
          <w:tab w:val="left" w:pos="945"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（十一）定标：</w:t>
      </w:r>
      <w:r/>
    </w:p>
    <w:p>
      <w:pPr>
        <w:ind w:firstLine="480"/>
        <w:spacing w:line="360" w:lineRule="auto"/>
        <w:tabs>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江苏信中天工程咨询有限公司自中标供应商确定之日起2个工作日内，发出成交（中标）通知书并在财政部门指定的政府采购信息发布媒体（江苏政府采购网上）发布公告中标、成交结果公告。</w:t>
      </w:r>
      <w:r/>
    </w:p>
    <w:p>
      <w:pPr>
        <w:ind w:firstLine="480"/>
        <w:spacing w:line="360" w:lineRule="auto"/>
        <w:tabs>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（2）投标、开标及定标的整个过程均接受政府采购监管部门的监督。</w:t>
      </w:r>
      <w:r/>
    </w:p>
    <w:p>
      <w:pPr>
        <w:ind w:firstLine="480"/>
        <w:spacing w:line="360" w:lineRule="auto"/>
        <w:tabs>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（3）在发布中标公告的同时，江苏信中天工程咨询有限公司将向中标供应商发出中标通知书。</w:t>
      </w:r>
      <w:r/>
    </w:p>
    <w:p>
      <w:pPr>
        <w:ind w:firstLine="480"/>
        <w:spacing w:line="360" w:lineRule="auto"/>
        <w:tabs>
          <w:tab w:val="left" w:pos="1155"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2. 如有质疑，按中华人民共和国财政部令第94号——政府采购质疑和投诉办法执行，供应商在法定质疑期限外送达的质疑函或法定质疑期限内送达的质疑函不符合下述要求的均为无效质疑，江苏信中天工程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2）供应商提出质疑应当提交质疑函和必要的证明材料。质疑函应当包括下列内容：</w:t>
      </w:r>
      <w:r/>
    </w:p>
    <w:p>
      <w:pPr>
        <w:pStyle w:val="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A．供应商的姓名或者名称、地址、邮编、联系人及联系电话；</w:t>
      </w:r>
      <w:r/>
    </w:p>
    <w:p>
      <w:pPr>
        <w:pStyle w:val="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B．质疑项目的名称、编号；</w:t>
      </w:r>
      <w:r/>
    </w:p>
    <w:p>
      <w:pPr>
        <w:pStyle w:val="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C．具体、明确的质疑事项和与质疑事项相关的请求；</w:t>
      </w:r>
      <w:r/>
    </w:p>
    <w:p>
      <w:pPr>
        <w:pStyle w:val="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D．事实依据；</w:t>
      </w:r>
      <w:r/>
    </w:p>
    <w:p>
      <w:pPr>
        <w:pStyle w:val="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E．必要的法律依据；</w:t>
      </w:r>
      <w:r/>
    </w:p>
    <w:p>
      <w:pPr>
        <w:pStyle w:val="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F．提出质疑的日期。</w:t>
      </w:r>
      <w:r/>
    </w:p>
    <w:p>
      <w:pPr>
        <w:pStyle w:val="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99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（十二） 废标的确认：</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在招标采购中，出现下列情况之一的，应予废标：</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符合专业条件的投标供应商或者对招标文件作出实质性响应的投标供应商不足三家；</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出现影响采购公正的违法、违规行为；</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投标供应商的报价均超过采购预算，采购人不能支付的；</w:t>
      </w:r>
      <w:r/>
    </w:p>
    <w:p>
      <w:pPr>
        <w:numPr>
          <w:ilvl w:val="0"/>
          <w:numId w:val="5"/>
        </w:numPr>
        <w:ind w:left="0" w:firstLine="525"/>
        <w:spacing w:line="360" w:lineRule="auto"/>
        <w:tabs>
          <w:tab w:val="right" w:pos="180" w:leader="none"/>
          <w:tab w:val="left" w:pos="525" w:leader="none"/>
          <w:tab w:val="left" w:pos="945"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（2）采取不正当手段诋毁、排挤其他投标供应商的；</w:t>
      </w:r>
      <w:r/>
    </w:p>
    <w:p>
      <w:pPr>
        <w:ind w:firstLine="523"/>
        <w:spacing w:line="360" w:lineRule="auto"/>
        <w:tabs>
          <w:tab w:val="left" w:pos="42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（3）与招标采购单位、其他投标供应商恶意串通的；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信中天工程咨询有限公司见证后生效。</w:t>
      </w:r>
      <w:r/>
    </w:p>
    <w:p>
      <w:pPr>
        <w:ind w:firstLine="525"/>
        <w:spacing w:line="360" w:lineRule="auto"/>
        <w:tabs>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2.江苏信中天工程咨询有限公司监督合同的履行。中标方非因不可抗力未履行招、投标文件和合同规定的义务，一经查实，招标代理机构将根据具体情况提请政府采购管理部门作出相应处理。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（十五）代理服务费：</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bCs/>
          <w:color w:val="auto"/>
          <w:sz w:val="24"/>
          <w:highlight w:val="none"/>
        </w:rPr>
        <w:t xml:space="preserve">本项目代理服务费由中标人支付，按差额定率累进法计算，</w:t>
      </w:r>
      <w:r>
        <w:rPr>
          <w:rFonts w:hint="eastAsia" w:ascii="宋体" w:hAnsi="宋体"/>
          <w:bCs/>
          <w:color w:val="auto"/>
          <w:sz w:val="24"/>
          <w:highlight w:val="none"/>
          <w:lang w:eastAsia="zh-CN"/>
        </w:rPr>
        <w:t xml:space="preserve">100万元以下</w:t>
      </w:r>
      <w:r>
        <w:rPr>
          <w:rFonts w:hint="eastAsia" w:ascii="宋体" w:hAnsi="宋体"/>
          <w:bCs/>
          <w:color w:val="auto"/>
          <w:sz w:val="24"/>
          <w:highlight w:val="none"/>
        </w:rPr>
        <w:t xml:space="preserve">部分费率按1.5%，</w:t>
      </w:r>
      <w:r>
        <w:rPr>
          <w:rFonts w:hint="eastAsia" w:ascii="宋体" w:hAnsi="宋体"/>
          <w:bCs/>
          <w:color w:val="auto"/>
          <w:sz w:val="24"/>
          <w:highlight w:val="none"/>
          <w:lang w:eastAsia="zh-CN"/>
        </w:rPr>
        <w:t xml:space="preserve">100万—500万</w:t>
      </w:r>
      <w:r>
        <w:rPr>
          <w:rFonts w:hint="eastAsia" w:ascii="宋体" w:hAnsi="宋体"/>
          <w:bCs/>
          <w:color w:val="auto"/>
          <w:sz w:val="24"/>
          <w:highlight w:val="none"/>
        </w:rPr>
        <w:t xml:space="preserve">部分费率按1.1%，以成交价为计算基数。</w:t>
      </w:r>
      <w:r/>
    </w:p>
    <w:p>
      <w:pPr>
        <w:ind w:firstLine="480"/>
        <w:spacing w:line="360" w:lineRule="auto"/>
        <w:tabs>
          <w:tab w:val="left" w:pos="945"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（十六）政府采购信用担保：</w:t>
      </w:r>
      <w:r/>
    </w:p>
    <w:p>
      <w:pPr>
        <w:ind w:firstLine="480"/>
        <w:spacing w:line="360" w:lineRule="auto"/>
        <w:tabs>
          <w:tab w:val="left" w:pos="52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政府采购信用担保，是由专业担保机构为供应商向采购人、代理机构、金融机构提供的保证，主要包括履约担保、合同融资两种形式。供应商可以根据自身情况，自行决定是否选择采用该两种信用担保形式。</w:t>
      </w:r>
      <w:r/>
    </w:p>
    <w:p>
      <w:pPr>
        <w:ind w:firstLine="480"/>
        <w:spacing w:line="360" w:lineRule="auto"/>
        <w:tabs>
          <w:tab w:val="left" w:pos="52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1、履约担保</w:t>
      </w:r>
      <w:r/>
    </w:p>
    <w:p>
      <w:pPr>
        <w:ind w:firstLine="480"/>
        <w:spacing w:line="360" w:lineRule="auto"/>
        <w:tabs>
          <w:tab w:val="left" w:pos="52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ind w:firstLine="480"/>
        <w:spacing w:line="360" w:lineRule="auto"/>
        <w:tabs>
          <w:tab w:val="left" w:pos="52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p>
    <w:p>
      <w:pPr>
        <w:ind w:firstLine="480"/>
        <w:spacing w:line="360" w:lineRule="auto"/>
        <w:tabs>
          <w:tab w:val="left" w:pos="52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2、政府采购合同融资</w:t>
      </w:r>
      <w:r/>
    </w:p>
    <w:p>
      <w:pPr>
        <w:ind w:firstLine="480"/>
        <w:spacing w:line="360" w:lineRule="auto"/>
        <w:tabs>
          <w:tab w:val="left" w:pos="52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根据无锡市《关于开展政府采购合同融资工作的通知》（锡财购〔2020〕17号）要求:合同融资，是指参与政府采购的供应商，凭</w:t>
      </w:r>
      <w:r>
        <w:rPr>
          <w:rFonts w:hint="eastAsia" w:ascii="宋体" w:hAnsi="宋体" w:cs="宋体"/>
          <w:color w:val="auto"/>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（十六）其他：</w:t>
      </w:r>
      <w:r/>
    </w:p>
    <w:p>
      <w:pPr>
        <w:ind w:firstLine="480"/>
        <w:jc w:val="left"/>
        <w:spacing w:line="440" w:lineRule="exact"/>
        <w:rPr>
          <w:rFonts w:hint="eastAsia" w:ascii="宋体" w:hAnsi="宋体" w:cs="宋体"/>
          <w:color w:val="auto"/>
          <w:sz w:val="24"/>
          <w:szCs w:val="34"/>
          <w:highlight w:val="none"/>
        </w:rPr>
      </w:pPr>
      <w:r>
        <w:rPr>
          <w:rFonts w:hint="eastAsia" w:ascii="宋体" w:hAnsi="宋体" w:cs="宋体"/>
          <w:color w:val="auto"/>
          <w:sz w:val="24"/>
          <w:szCs w:val="34"/>
          <w:highlight w:val="none"/>
        </w:rPr>
        <w:t xml:space="preserve">1.招标文件的条款必须认真审阅，投标供应商应自行检查招标文件页数是否齐全。若有遗漏、重复或不清楚，需立刻通知招标人予以更正；凡属对条款的误解所造成的投标价格失误，由投标供应商负责。</w:t>
      </w:r>
      <w:r/>
    </w:p>
    <w:p>
      <w:pPr>
        <w:ind w:firstLine="480"/>
        <w:jc w:val="left"/>
        <w:spacing w:line="440" w:lineRule="exact"/>
        <w:rPr>
          <w:rFonts w:hint="eastAsia" w:ascii="宋体" w:hAnsi="宋体" w:cs="宋体"/>
          <w:bCs/>
          <w:color w:val="auto"/>
          <w:sz w:val="24"/>
          <w:szCs w:val="24"/>
          <w:highlight w:val="none"/>
        </w:rPr>
      </w:pPr>
      <w:r>
        <w:rPr>
          <w:rFonts w:hint="eastAsia" w:ascii="宋体" w:hAnsi="宋体" w:cs="宋体"/>
          <w:color w:val="auto"/>
          <w:sz w:val="24"/>
          <w:szCs w:val="34"/>
          <w:highlight w:val="none"/>
        </w:rPr>
        <w:t xml:space="preserve">2.</w:t>
      </w:r>
      <w:r>
        <w:rPr>
          <w:rFonts w:hint="eastAsia" w:ascii="宋体" w:hAnsi="宋体" w:cs="宋体"/>
          <w:bCs/>
          <w:color w:val="auto"/>
          <w:sz w:val="24"/>
          <w:highlight w:val="none"/>
        </w:rPr>
        <w:t xml:space="preserve">开标后，投标供应商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供应商自行承担。</w:t>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三、项目要求和有关说明</w:t>
      </w:r>
      <w:r/>
    </w:p>
    <w:p>
      <w:pPr>
        <w:rPr>
          <w:rFonts w:hint="eastAsia" w:ascii="宋体" w:hAnsi="宋体" w:cs="宋体"/>
          <w:b/>
          <w:bCs/>
          <w:color w:val="auto"/>
          <w:sz w:val="24"/>
          <w:szCs w:val="24"/>
          <w:highlight w:val="none"/>
        </w:rPr>
      </w:pPr>
      <w:r/>
      <w:bookmarkStart w:id="5" w:name="_Toc15101"/>
      <w:r/>
      <w:r/>
    </w:p>
    <w:p>
      <w:pPr>
        <w:rPr>
          <w:rFonts w:hint="eastAsia" w:ascii="宋体" w:hAnsi="宋体"/>
          <w:bCs/>
          <w:color w:val="auto"/>
          <w:sz w:val="24"/>
          <w:szCs w:val="24"/>
          <w:highlight w:val="none"/>
        </w:rPr>
      </w:pPr>
      <w:r>
        <w:rPr>
          <w:rFonts w:hint="eastAsia" w:ascii="宋体" w:hAnsi="宋体"/>
          <w:b/>
          <w:color w:val="auto"/>
          <w:sz w:val="30"/>
          <w:szCs w:val="30"/>
          <w:highlight w:val="none"/>
        </w:rPr>
        <w:t xml:space="preserve">第一部分  项目技术要求</w:t>
      </w:r>
      <w:r/>
    </w:p>
    <w:p>
      <w:pPr>
        <w:jc w:val="left"/>
        <w:spacing w:line="360" w:lineRule="auto"/>
        <w:tabs>
          <w:tab w:val="left" w:pos="735" w:leader="none"/>
          <w:tab w:val="left" w:pos="945"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一、项目基本情况</w:t>
      </w:r>
      <w:r/>
    </w:p>
    <w:p>
      <w:pPr>
        <w:ind w:firstLine="480"/>
        <w:jc w:val="left"/>
        <w:spacing w:line="360" w:lineRule="auto"/>
        <w:tabs>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质量要求及验收标准：采购人根据国家有关规定、招标文件、中标供应商的投标文件以及合同约定的内容和验收标准进行验收。验收情况作为支付货款的依据。如有质疑，以相关质量技术检验检测机构的检验结果为准，如产生检验费用，则该费用由中标方承担。</w:t>
      </w:r>
      <w:r/>
    </w:p>
    <w:p>
      <w:pPr>
        <w:jc w:val="left"/>
        <w:spacing w:line="360" w:lineRule="auto"/>
        <w:rPr>
          <w:rFonts w:hint="eastAsia" w:ascii="宋体" w:hAnsi="宋体" w:cs="宋体"/>
          <w:b/>
          <w:bCs/>
          <w:color w:val="auto"/>
          <w:sz w:val="24"/>
          <w:szCs w:val="24"/>
          <w:highlight w:val="none"/>
        </w:rPr>
      </w:pPr>
      <w:r>
        <w:rPr>
          <w:rFonts w:hint="eastAsia" w:ascii="宋体" w:hAnsi="宋体" w:cs="宋体"/>
          <w:b/>
          <w:color w:val="auto"/>
          <w:sz w:val="24"/>
          <w:highlight w:val="none"/>
        </w:rPr>
        <w:t xml:space="preserve">二、</w:t>
      </w:r>
      <w:r>
        <w:rPr>
          <w:rFonts w:hint="eastAsia" w:ascii="宋体" w:hAnsi="宋体" w:cs="宋体"/>
          <w:b/>
          <w:bCs/>
          <w:color w:val="auto"/>
          <w:sz w:val="24"/>
          <w:szCs w:val="24"/>
          <w:highlight w:val="none"/>
        </w:rPr>
        <w:t xml:space="preserve">采购标的需执行的国家相关标准、行业标准、地方标准或者其他标准、规范：</w:t>
      </w:r>
      <w:r/>
    </w:p>
    <w:p>
      <w:pPr>
        <w:ind w:firstLine="480"/>
        <w:jc w:val="left"/>
        <w:spacing w:line="360" w:lineRule="auto"/>
        <w:tabs>
          <w:tab w:val="left" w:pos="735" w:leader="none"/>
          <w:tab w:val="left" w:pos="945"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满足国家、行业标准和江苏地区相应的规范、规定。</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三、采购标的需满足的质量、安全、技术规格、物理特性等要求：</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质量标准：一次性验收通过，100%合格。</w:t>
      </w:r>
      <w:r/>
    </w:p>
    <w:p>
      <w:pPr>
        <w:jc w:val="left"/>
        <w:spacing w:line="360" w:lineRule="auto"/>
        <w:shd w:val="clear" w:color="auto" w:fill="ffffff"/>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四、采购标的的数量、采购项目交付或者实施的时间和地点：</w:t>
      </w:r>
      <w:r/>
    </w:p>
    <w:p>
      <w:pPr>
        <w:ind w:firstLine="480"/>
        <w:jc w:val="left"/>
        <w:spacing w:line="360" w:lineRule="auto"/>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1.采购清单：</w:t>
      </w:r>
      <w:r>
        <w:rPr>
          <w:rFonts w:hint="eastAsia" w:ascii="宋体" w:hAnsi="宋体" w:cs="宋体"/>
          <w:b/>
          <w:bCs/>
          <w:color w:val="auto"/>
          <w:sz w:val="24"/>
          <w:szCs w:val="24"/>
          <w:highlight w:val="none"/>
        </w:rPr>
        <w:t xml:space="preserve">详见附件（</w:t>
      </w:r>
      <w:r>
        <w:rPr>
          <w:rFonts w:hint="eastAsia" w:ascii="宋体" w:hAnsi="宋体" w:cs="宋体"/>
          <w:b/>
          <w:bCs/>
          <w:color w:val="auto"/>
          <w:sz w:val="24"/>
          <w:szCs w:val="24"/>
          <w:highlight w:val="none"/>
        </w:rPr>
        <w:t xml:space="preserve">南京大学无锡滨湖大气前沿技术与高端装备创新研究院科技展厅布置采购项目</w:t>
      </w:r>
      <w:r>
        <w:rPr>
          <w:rFonts w:hint="eastAsia" w:ascii="宋体" w:hAnsi="宋体" w:cs="宋体"/>
          <w:b/>
          <w:bCs/>
          <w:color w:val="auto"/>
          <w:sz w:val="24"/>
          <w:szCs w:val="24"/>
          <w:highlight w:val="none"/>
        </w:rPr>
        <w:t xml:space="preserve">采购清单）。</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2.服务期：</w:t>
      </w:r>
      <w:r>
        <w:rPr>
          <w:rFonts w:hint="eastAsia" w:ascii="宋体" w:hAnsi="宋体" w:cs="宋体"/>
          <w:bCs/>
          <w:color w:val="auto"/>
          <w:sz w:val="24"/>
          <w:szCs w:val="24"/>
          <w:highlight w:val="none"/>
        </w:rPr>
        <w:t xml:space="preserve">1个月内完成设计、供货、安装、调试并交付采购人使用（具体起始日期以采购人通知为准）。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3.实施地点：</w:t>
      </w:r>
      <w:r>
        <w:rPr>
          <w:rFonts w:hint="eastAsia" w:ascii="宋体" w:hAnsi="宋体" w:cs="宋体"/>
          <w:bCs/>
          <w:color w:val="auto"/>
          <w:sz w:val="24"/>
          <w:highlight w:val="none"/>
        </w:rPr>
        <w:t xml:space="preserve">无锡市滨湖区绣溪路50号K-PARK商务中心（具体以采购人指定地点为准）</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4.服务响应时间：项目验收合格之日起1年内，一旦发生质量问题，中标供应商保证在接到通知1小时内响应，8小时内赶到现场并处理完毕。</w:t>
      </w:r>
      <w:r/>
    </w:p>
    <w:p>
      <w:pPr>
        <w:ind w:right="-162"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5.投标供应商针对本项目配备人员不少于3人，所配备团队人员需有过类似项目经验。</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6.项目内容‌：包括主形象墙、发展历程、氛围灯箱系统、飞艇升降展示区（沙盘）、VR投影、VR视频制作等。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7.技术要求‌：采用高清图文、多媒体数字内容、互动体验等多种展示方式，确保信息的直观性和互动性。</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多媒体展示‌：投标供应商需有丰富的多媒体展示经验。</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‌互动体验区‌：投标供应商需有丰富的互动体验开发实施经验。</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五、采购标的需满足的服务标准、期限、效率等要求：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1.中标供应商确定后，根据采购人要求，在规定的时间内，向采购人递交优化的设计方案、图纸等，经批准同意后方可以组织实施布展服务。在服务期间，中标供应商应无条件地遵守采购人的各项规章制度；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供应商在投标文件中承诺的项目班子主要成员、项目负责人及相应的专业技术、管理人员未经采购人书面同意，不作调换和撤离，完全按项目进度及时到位。采购人有权要求中标供应商撤换工作不负责任、管理不力、贻误服务期和造成严重的安全事故和项目质量事故、违法乱纪的专业技术、管理人员及项目负责人，直至采购人满意为止。如项目负责人及相应的专业技术人员未按要求到位，视作违约，采购人有权单方面终止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3.在合同规定的期限内对本项目实行巡视保障、维修服务，但是该服务并不能免除乙方在质量保证期内所承担的义务；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4.严格按照相关规范及采购人要求执行，安全文明实施项目，不扰民、不妨碍交通管理，合同期间零安全事故，一旦发生安全事故，一切责任由乙方承担；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5.实施布展过程中尽量避免使用刺激性气味的装修材料，如无法避免时应确保刺激性气味在短时间可以消散挥发完全；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6.中标供应商应无条件地接受采购人的质量监督，提出的质量问题要及时整改，整改完毕后通知采购人检查验收，合格后书面报送采购人备案；</w:t>
      </w:r>
      <w:r/>
    </w:p>
    <w:p>
      <w:pPr>
        <w:ind w:firstLine="48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7.中标供应商必须按照设计和技术标准实施布展服务，不得擅自修改设计方案，不得偷工减料；如发现设计文件和图纸差错的应当及时向采购人提出意见和建议，经采购人认可后方可进行修改。</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六、采购标的的验收标准：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本项目严格按国家、省、市现行的相关质量评定标准进行验收。</w:t>
      </w:r>
      <w:r/>
    </w:p>
    <w:p>
      <w:pPr>
        <w:jc w:val="left"/>
        <w:spacing w:line="360" w:lineRule="auto"/>
        <w:shd w:val="clear" w:color="auto" w:fill="ffffff"/>
        <w:widowControl/>
        <w:rPr>
          <w:rFonts w:hint="eastAsia" w:ascii="宋体" w:hAnsi="宋体" w:cs="宋体"/>
          <w:b/>
          <w:color w:val="auto"/>
          <w:sz w:val="24"/>
          <w:szCs w:val="24"/>
          <w:highlight w:val="none"/>
          <w:shd w:val="clear" w:color="auto" w:fill="ffffff"/>
        </w:rPr>
      </w:pPr>
      <w:r>
        <w:rPr>
          <w:rFonts w:hint="eastAsia" w:ascii="宋体" w:hAnsi="宋体" w:cs="宋体"/>
          <w:b/>
          <w:color w:val="auto"/>
          <w:sz w:val="24"/>
          <w:szCs w:val="24"/>
          <w:highlight w:val="none"/>
        </w:rPr>
        <w:t xml:space="preserve">七、采购标的的其他技术、服务等要求：</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1.投标人可先到现场踏勘以充分了解项目位置、情况、道路及任何其他足以影响承包价的情况，任何因忽视或误解项目情况而导致的索赔申请将不被批准。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必须在满足招标文件要求的基础上进行报价。投标总报价包括满足全部标的物、策划、设计、辅助材料、安装、调试、维护、人工、机械、包装、运输、装卸、仓储、保险、运费、各种税费、劳保、专利技术等一切费用。</w:t>
      </w:r>
      <w:r/>
    </w:p>
    <w:p>
      <w:pPr>
        <w:ind w:firstLine="480"/>
        <w:spacing w:line="360" w:lineRule="auto"/>
        <w:tabs>
          <w:tab w:val="left" w:pos="0" w:leader="none"/>
          <w:tab w:val="left" w:pos="945"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3.投标人必须在满足招标文件要求的基础上进行报价，如有技术偏离请于投标偏离表中说明。</w:t>
      </w:r>
      <w:r/>
    </w:p>
    <w:p>
      <w:pPr>
        <w:ind w:firstLine="477"/>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付款方式：配套货物到场经验收后支付至合同金额50%，布置、安装、调试、验收合格通过付至合同金额90%，审计结束后付至审定价的100%。采购人原则上应当自收到发票后10个工作日内将资金支付到合同约定的供应商账户。</w:t>
      </w:r>
      <w:r/>
    </w:p>
    <w:p>
      <w:pPr>
        <w:ind w:firstLine="480"/>
        <w:spacing w:line="360" w:lineRule="auto"/>
        <w:tabs>
          <w:tab w:val="left" w:pos="0" w:leader="none"/>
          <w:tab w:val="left" w:pos="630" w:leader="none"/>
          <w:tab w:val="left" w:pos="735" w:leader="none"/>
          <w:tab w:val="left" w:pos="945"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5.本项目合同履行地点：无锡市。中标供应商必须按采购人要求将本项目中货物送到指定地点（包括可能的分布范围），并分地实施安装调试。</w:t>
      </w:r>
      <w:r/>
    </w:p>
    <w:p>
      <w:pPr>
        <w:ind w:firstLine="480"/>
        <w:spacing w:line="360" w:lineRule="auto"/>
        <w:tabs>
          <w:tab w:val="left" w:pos="0" w:leader="none"/>
          <w:tab w:val="left" w:pos="630" w:leader="none"/>
          <w:tab w:val="left" w:pos="735" w:leader="none"/>
          <w:tab w:val="left" w:pos="945"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6.质量及验收：采购人根据国家有关规定、招标文件、中标供应商的投标文件以及合同约定的内容和验收标准进</w:t>
      </w:r>
      <w:r>
        <w:rPr>
          <w:rFonts w:hint="eastAsia" w:ascii="宋体" w:hAnsi="宋体" w:cs="宋体"/>
          <w:color w:val="auto"/>
          <w:sz w:val="24"/>
          <w:szCs w:val="24"/>
          <w:highlight w:val="none"/>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7.本项目不收取履约保证金。</w:t>
      </w:r>
      <w:r/>
    </w:p>
    <w:p>
      <w:pPr>
        <w:rPr>
          <w:rFonts w:ascii="Calibri" w:hAnsi="Calibri"/>
          <w:b/>
          <w:bCs/>
          <w:color w:val="auto"/>
          <w:szCs w:val="24"/>
          <w:highlight w:val="none"/>
        </w:rPr>
      </w:pPr>
      <w:r>
        <w:rPr>
          <w:rFonts w:ascii="Calibri" w:hAnsi="Calibri"/>
          <w:b/>
          <w:bCs/>
          <w:color w:val="auto"/>
          <w:szCs w:val="24"/>
          <w:highlight w:val="none"/>
        </w:rPr>
      </w:r>
      <w:r/>
    </w:p>
    <w:p>
      <w:pPr>
        <w:rPr>
          <w:rFonts w:ascii="Calibri" w:hAnsi="Calibri"/>
          <w:b/>
          <w:bCs/>
          <w:color w:val="auto"/>
          <w:szCs w:val="24"/>
          <w:highlight w:val="none"/>
        </w:rPr>
      </w:pPr>
      <w:r>
        <w:rPr>
          <w:rFonts w:ascii="Calibri" w:hAnsi="Calibri"/>
          <w:b/>
          <w:bCs/>
          <w:color w:val="auto"/>
          <w:szCs w:val="24"/>
          <w:highlight w:val="none"/>
        </w:rPr>
      </w:r>
      <w:r/>
    </w:p>
    <w:p>
      <w:pPr>
        <w:rPr>
          <w:rFonts w:ascii="Calibri" w:hAnsi="Calibri"/>
          <w:b/>
          <w:bCs/>
          <w:color w:val="auto"/>
          <w:szCs w:val="24"/>
          <w:highlight w:val="none"/>
        </w:rPr>
      </w:pPr>
      <w:r>
        <w:rPr>
          <w:rFonts w:ascii="Calibri" w:hAnsi="Calibri"/>
          <w:b/>
          <w:bCs/>
          <w:color w:val="auto"/>
          <w:szCs w:val="24"/>
          <w:highlight w:val="none"/>
        </w:rPr>
      </w:r>
      <w:r/>
    </w:p>
    <w:p>
      <w:pPr>
        <w:rPr>
          <w:rFonts w:ascii="Calibri" w:hAnsi="Calibri"/>
          <w:b/>
          <w:bCs/>
          <w:color w:val="auto"/>
          <w:szCs w:val="24"/>
          <w:highlight w:val="none"/>
        </w:rPr>
      </w:pPr>
      <w:r>
        <w:rPr>
          <w:rFonts w:ascii="Calibri" w:hAnsi="Calibri"/>
          <w:b/>
          <w:bCs/>
          <w:color w:val="auto"/>
          <w:szCs w:val="24"/>
          <w:highlight w:val="none"/>
        </w:rPr>
      </w:r>
      <w:r/>
    </w:p>
    <w:p>
      <w:pPr>
        <w:rPr>
          <w:rFonts w:ascii="Calibri" w:hAnsi="Calibri"/>
          <w:b/>
          <w:bCs/>
          <w:color w:val="auto"/>
          <w:szCs w:val="24"/>
          <w:highlight w:val="none"/>
        </w:rPr>
      </w:pPr>
      <w:r>
        <w:rPr>
          <w:rFonts w:ascii="Calibri" w:hAnsi="Calibri"/>
          <w:b/>
          <w:bCs/>
          <w:color w:val="auto"/>
          <w:szCs w:val="24"/>
          <w:highlight w:val="none"/>
        </w:rPr>
      </w:r>
      <w:r/>
    </w:p>
    <w:p>
      <w:pPr>
        <w:rPr>
          <w:rFonts w:ascii="Calibri" w:hAnsi="Calibri"/>
          <w:b/>
          <w:bCs/>
          <w:color w:val="auto"/>
          <w:szCs w:val="24"/>
          <w:highlight w:val="none"/>
        </w:rPr>
      </w:pPr>
      <w:r>
        <w:rPr>
          <w:rFonts w:ascii="Calibri" w:hAnsi="Calibri"/>
          <w:b/>
          <w:bCs/>
          <w:color w:val="auto"/>
          <w:szCs w:val="24"/>
          <w:highlight w:val="none"/>
        </w:rPr>
      </w:r>
      <w:r/>
    </w:p>
    <w:p>
      <w:pPr>
        <w:rPr>
          <w:rFonts w:ascii="Calibri" w:hAnsi="Calibri"/>
          <w:b/>
          <w:bCs/>
          <w:color w:val="auto"/>
          <w:szCs w:val="24"/>
          <w:highlight w:val="none"/>
        </w:rPr>
      </w:pPr>
      <w:r>
        <w:rPr>
          <w:rFonts w:ascii="Calibri" w:hAnsi="Calibri"/>
          <w:b/>
          <w:bCs/>
          <w:color w:val="auto"/>
          <w:szCs w:val="24"/>
          <w:highlight w:val="none"/>
        </w:rPr>
      </w:r>
      <w:r/>
    </w:p>
    <w:p>
      <w:pPr>
        <w:rPr>
          <w:rFonts w:ascii="Calibri" w:hAnsi="Calibri"/>
          <w:b/>
          <w:bCs/>
          <w:color w:val="auto"/>
          <w:szCs w:val="24"/>
          <w:highlight w:val="none"/>
        </w:rPr>
      </w:pPr>
      <w:r>
        <w:rPr>
          <w:rFonts w:ascii="Calibri" w:hAnsi="Calibri"/>
          <w:b/>
          <w:bCs/>
          <w:color w:val="auto"/>
          <w:szCs w:val="24"/>
          <w:highlight w:val="none"/>
        </w:rPr>
      </w:r>
      <w:r/>
    </w:p>
    <w:p>
      <w:pPr>
        <w:rPr>
          <w:rFonts w:ascii="Calibri" w:hAnsi="Calibri"/>
          <w:b/>
          <w:bCs/>
          <w:color w:val="auto"/>
          <w:szCs w:val="24"/>
          <w:highlight w:val="none"/>
        </w:rPr>
      </w:pPr>
      <w:r>
        <w:rPr>
          <w:rFonts w:ascii="Calibri" w:hAnsi="Calibri"/>
          <w:b/>
          <w:bCs/>
          <w:color w:val="auto"/>
          <w:szCs w:val="24"/>
          <w:highlight w:val="none"/>
        </w:rPr>
      </w:r>
      <w:r/>
    </w:p>
    <w:p>
      <w:pPr>
        <w:rPr>
          <w:rFonts w:ascii="Calibri" w:hAnsi="Calibri"/>
          <w:b/>
          <w:bCs/>
          <w:color w:val="auto"/>
          <w:szCs w:val="24"/>
          <w:highlight w:val="none"/>
        </w:rPr>
      </w:pPr>
      <w:r>
        <w:rPr>
          <w:rFonts w:ascii="Calibri" w:hAnsi="Calibri"/>
          <w:b/>
          <w:bCs/>
          <w:color w:val="auto"/>
          <w:szCs w:val="24"/>
          <w:highlight w:val="none"/>
        </w:rPr>
      </w:r>
      <w:r/>
    </w:p>
    <w:p>
      <w:pPr>
        <w:rPr>
          <w:rFonts w:ascii="Calibri" w:hAnsi="Calibri"/>
          <w:b/>
          <w:bCs/>
          <w:color w:val="auto"/>
          <w:szCs w:val="24"/>
          <w:highlight w:val="none"/>
        </w:rPr>
      </w:pPr>
      <w:r>
        <w:rPr>
          <w:rFonts w:ascii="Calibri" w:hAnsi="Calibri"/>
          <w:b/>
          <w:bCs/>
          <w:color w:val="auto"/>
          <w:szCs w:val="24"/>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第二部分  有关说明</w:t>
      </w:r>
      <w:r/>
    </w:p>
    <w:p>
      <w:pPr>
        <w:numPr>
          <w:ilvl w:val="1"/>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6"/>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6"/>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6"/>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本项目合同履行地点：中标方必须按采购人要求将本项目中货物送到指定地点（包括可能的分布范围），并分地实施安装调试。</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7"/>
        </w:numPr>
        <w:ind w:left="0" w:firstLine="525"/>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w:t>
      </w:r>
      <w:bookmarkStart w:id="6" w:name="OLE_LINK2"/>
      <w:r>
        <w:rPr>
          <w:rFonts w:hint="eastAsia" w:ascii="宋体"/>
          <w:bCs/>
          <w:color w:val="auto"/>
          <w:sz w:val="24"/>
          <w:szCs w:val="24"/>
          <w:highlight w:val="none"/>
        </w:rPr>
        <w:t xml:space="preserve">《保障中小企业款项支付条例》（中华人民共和国国务院令第802号）</w:t>
      </w:r>
      <w:bookmarkEnd w:id="6"/>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945" w:leader="none"/>
        </w:tabs>
        <w:rPr>
          <w:rFonts w:ascii="宋体"/>
          <w:bCs/>
          <w:color w:val="auto"/>
          <w:sz w:val="24"/>
          <w:szCs w:val="24"/>
          <w:highlight w:val="none"/>
          <w:lang w:val="en"/>
        </w:rPr>
      </w:pPr>
      <w:r>
        <w:rPr>
          <w:rFonts w:hint="eastAsia" w:ascii="宋体"/>
          <w:bCs/>
          <w:color w:val="auto"/>
          <w:sz w:val="24"/>
          <w:szCs w:val="24"/>
          <w:highlight w:val="none"/>
        </w:rPr>
        <w:t xml:space="preserve">11.根据《关于推动解决政府采购异常低价问题的通知》（苏财购〔2026〕2号）要求，</w:t>
      </w:r>
      <w:r>
        <w:rPr>
          <w:rFonts w:hint="eastAsia" w:ascii="宋体"/>
          <w:bCs/>
          <w:color w:val="auto"/>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widowControl/>
        <w:rPr>
          <w:rFonts w:hint="eastAsia" w:ascii="宋体" w:hAnsi="宋体" w:cs="宋体"/>
          <w:b/>
          <w:bCs/>
          <w:color w:val="auto"/>
          <w:sz w:val="13"/>
          <w:szCs w:val="13"/>
          <w:highlight w:val="none"/>
          <w:lang w:bidi="ar"/>
        </w:rPr>
        <w:sectPr>
          <w:headerReference w:type="default" r:id="rId10"/>
          <w:footerReference w:type="default" r:id="rId12"/>
          <w:footnotePr/>
          <w:endnotePr/>
          <w:type w:val="nextPage"/>
          <w:pgSz w:w="11905" w:h="16838" w:orient="portrait"/>
          <w:pgMar w:top="1247" w:right="1247" w:bottom="1270" w:left="1304" w:header="850" w:footer="992" w:gutter="0"/>
          <w:cols w:num="1" w:sep="0" w:space="0" w:equalWidth="1"/>
          <w:docGrid w:linePitch="360"/>
        </w:sectPr>
      </w:pPr>
      <w:r>
        <w:rPr>
          <w:rFonts w:hint="eastAsia" w:ascii="宋体" w:hAnsi="宋体" w:cs="宋体"/>
          <w:b/>
          <w:bCs/>
          <w:color w:val="auto"/>
          <w:sz w:val="13"/>
          <w:szCs w:val="13"/>
          <w:highlight w:val="none"/>
          <w:lang w:bidi="ar"/>
        </w:rPr>
      </w:r>
      <w:r/>
    </w:p>
    <w:p>
      <w:pPr>
        <w:widowControl/>
        <w:rPr>
          <w:rFonts w:hint="eastAsia" w:ascii="宋体" w:hAnsi="宋体" w:cs="宋体"/>
          <w:b/>
          <w:bCs/>
          <w:color w:val="auto"/>
          <w:sz w:val="13"/>
          <w:szCs w:val="13"/>
          <w:highlight w:val="none"/>
          <w:lang w:bidi="ar"/>
        </w:rPr>
      </w:pPr>
      <w:r>
        <w:rPr>
          <w:rFonts w:hint="eastAsia" w:ascii="宋体" w:hAnsi="宋体" w:cs="宋体"/>
          <w:b/>
          <w:bCs/>
          <w:color w:val="auto"/>
          <w:sz w:val="13"/>
          <w:szCs w:val="13"/>
          <w:highlight w:val="none"/>
          <w:lang w:bidi="ar"/>
        </w:rPr>
      </w:r>
      <w:r/>
    </w:p>
    <w:tbl>
      <w:tblPr>
        <w:tblStyle w:val="788"/>
        <w:tblW w:w="13737" w:type="dxa"/>
        <w:jc w:val="center"/>
        <w:tblLayout w:type="fixed"/>
        <w:tblCellMar>
          <w:left w:w="108" w:type="dxa"/>
          <w:top w:w="0" w:type="dxa"/>
          <w:right w:w="108" w:type="dxa"/>
          <w:bottom w:w="0" w:type="dxa"/>
        </w:tblCellMar>
        <w:tblLook w:val="04A0" w:firstRow="1" w:lastRow="0" w:firstColumn="1" w:lastColumn="0" w:noHBand="0" w:noVBand="1"/>
      </w:tblPr>
      <w:tblGrid>
        <w:gridCol w:w="580"/>
        <w:gridCol w:w="1048"/>
        <w:gridCol w:w="3726"/>
        <w:gridCol w:w="5593"/>
        <w:gridCol w:w="850"/>
        <w:gridCol w:w="851"/>
        <w:gridCol w:w="1089"/>
      </w:tblGrid>
      <w:tr>
        <w:trPr>
          <w:jc w:val="center"/>
          <w:tblHeader/>
        </w:trPr>
        <w:tc>
          <w:tcPr>
            <w:gridSpan w:val="7"/>
            <w:tcBorders>
              <w:top w:val="none" w:color="000000" w:sz="4" w:space="0"/>
              <w:left w:val="none" w:color="000000" w:sz="4" w:space="0"/>
              <w:bottom w:val="none" w:color="000000" w:sz="4" w:space="0"/>
              <w:right w:val="none" w:color="000000" w:sz="4" w:space="0"/>
            </w:tcBorders>
            <w:tcW w:w="13737" w:type="dxa"/>
            <w:vAlign w:val="center"/>
            <w:textDirection w:val="lrTb"/>
            <w:noWrap/>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清单-南京大学无锡滨湖大气前沿技术与高端装备创新研究院科技展厅布置采购项目</w:t>
            </w:r>
            <w:r/>
          </w:p>
        </w:tc>
      </w:tr>
      <w:tr>
        <w:trPr>
          <w:jc w:val="center"/>
          <w:tblHead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项目描述</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材料</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平面图</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一、</w:t>
            </w:r>
            <w:r/>
          </w:p>
        </w:tc>
        <w:tc>
          <w:tcPr>
            <w:gridSpan w:val="3"/>
            <w:tcBorders>
              <w:top w:val="single" w:color="000000" w:sz="4" w:space="0"/>
              <w:left w:val="single" w:color="000000" w:sz="4" w:space="0"/>
              <w:bottom w:val="single" w:color="000000" w:sz="4" w:space="0"/>
              <w:right w:val="single" w:color="000000" w:sz="4" w:space="0"/>
            </w:tcBorders>
            <w:tcW w:w="10367"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地面部分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地面保护</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进场施工期间保护范围:（地面、墙面、门窗、玻璃、电梯、已安装设备(电视、投影、沙盘、灯具、弱电面板等)、顶部喷黑+pvc地胶时期全墙面保护</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二、</w:t>
            </w:r>
            <w:r/>
          </w:p>
        </w:tc>
        <w:tc>
          <w:tcPr>
            <w:gridSpan w:val="3"/>
            <w:tcBorders>
              <w:top w:val="single" w:color="000000" w:sz="4" w:space="0"/>
              <w:left w:val="single" w:color="000000" w:sz="4" w:space="0"/>
              <w:bottom w:val="single" w:color="000000" w:sz="4" w:space="0"/>
              <w:right w:val="single" w:color="000000" w:sz="4" w:space="0"/>
            </w:tcBorders>
            <w:tcW w:w="10367"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主要结构部分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non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A-1主形象墙 含左侧拐角</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（叠加异形+弧面结构）</w:t>
            </w:r>
            <w:r/>
          </w:p>
        </w:tc>
        <w:tc>
          <w:tcPr>
            <w:tcBorders>
              <w:top w:val="non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材料品种、工艺:75系列轻钢龙骨，单层单面12厚阻燃板基层，3.5米以上部位封9.5混合腻子三遍，深灰色乳胶漆三遍;9.5厚纸面石膏板，3.5米以下部位局部木龙骨骨架，防火涂料三遍，封一层单层单面12厚阻燃板、9.5厚纸面石膏板，白色乳胶漆三遍，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（防开裂撞角）;核心材料包括9.5mm耐潮石膏板、铝型材/不锈钢围边、铝塑板</w:t>
            </w:r>
            <w:r>
              <w:rPr>
                <w:rFonts w:hint="eastAsia" w:ascii="宋体" w:hAnsi="宋体" w:cs="宋体"/>
                <w:color w:val="auto"/>
                <w:sz w:val="13"/>
                <w:szCs w:val="13"/>
                <w:highlight w:val="none"/>
                <w:lang w:bidi="ar"/>
              </w:rPr>
              <w:t xml:space="preserve">/PVC背板，光源及电器采用24V漫反射LED软灯带、LED驱动电源（功率≥总功率1.2-1.5倍）、国标铜芯线、PVC穿线管、接线端子及热缩管，辅助辅料有铝箔反光纸、中性硅酮耐候胶（严禁用酸性玻璃胶）、自攻螺丝/拉铆钉、木工胶/免钉胶、无尘布+酒精，施工需用雕刻机（配Φ6-8mm铣刀）、吸尘器等工具，灯槽路径距边缘≥8-15mm，槽宽10-15cm、槽深≤板厚2/3，转角做R≥3mm圆角，槽外壁距边缘≥8mm，长度＞1.2m时板厚≥5mm并加加强筋/背板，施工中做好灯槽清洁，确保见光面清洁无误、结构稳定。</w:t>
            </w:r>
            <w:r/>
          </w:p>
        </w:tc>
        <w:tc>
          <w:tcPr>
            <w:tcBorders>
              <w:top w:val="non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31</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A-1主形象墙-黑色异形不锈钢烤漆边框</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灯箱外沿20cm面宽，异形不锈钢烤漆：不锈钢基材厚度 8.0mm，冷轧公差 ±0.05~0.10mm。涂层干膜厚度：≥125μm，重防腐≥200μm；底漆 350μm，面漆 80μm，清漆 20μm。</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"C:\\Users\\ADMINI~1\\AppData\\Local\\Temp\\ksohtml\\clip_cell_image2.png"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3181350" cy="952500"/>
                      <wp:effectExtent l="0" t="0" r="0" b="0"/>
                      <wp:docPr id="3" name="图片 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7"/>
                              <pic:cNvPicPr>
                                <a:picLocks noChangeAspect="1"/>
                              </pic:cNvPicPr>
                              <pic:nvPr/>
                            </pic:nvPicPr>
                            <pic:blipFill>
                              <a:blip r:embed="rId15"/>
                              <a:stretch/>
                            </pic:blipFill>
                            <pic:spPr bwMode="auto">
                              <a:xfrm>
                                <a:off x="0" y="0"/>
                                <a:ext cx="31813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0.5pt;height:75.0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休息区左侧墙体结构</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材料品种、工艺:75系列轻钢龙骨，单层单面12厚阻燃板基层，挂网，3.5米以上部位封9.5混合腻子三遍，深灰色乳胶漆三遍;9.5厚纸面石膏板，3.5米以下部位局部木龙骨骨架，防火涂料三遍，封单层单面12厚阻燃板、9.5厚纸面石膏板，白色乳胶漆三遍，乳胶漆墙面拉花工艺，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（防开裂撞角）;120g、20*20mm阴120g、20*20mm阴阳角条等。</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"C:\\Users\\ADMINI~1\\AppData\\Local\\Temp\\ksohtml\\clip_cell_image4.png"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124075" cy="781050"/>
                      <wp:effectExtent l="0" t="0" r="9525" b="0"/>
                      <wp:docPr id="4" name="图片 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IMG_258"/>
                              <pic:cNvPicPr>
                                <a:picLocks noChangeAspect="1"/>
                              </pic:cNvPicPr>
                              <pic:nvPr/>
                            </pic:nvPicPr>
                            <pic:blipFill>
                              <a:blip r:embed="rId16"/>
                              <a:stretch/>
                            </pic:blipFill>
                            <pic:spPr bwMode="auto">
                              <a:xfrm>
                                <a:off x="0" y="0"/>
                                <a:ext cx="2124075"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7.2pt;height:61.5pt;mso-wrap-distance-left:0.0pt;mso-wrap-distance-top:0.0pt;mso-wrap-distance-right:0.0pt;mso-wrap-distance-bottom:0.0pt;" stroked="f">
                      <v:path textboxrect="0,0,0,0"/>
                      <v:imagedata r:id="rId16"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42</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入口展示墙A</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（异形+弧面结构）</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材料品种、工艺:75系列轻钢龙骨，单层单面12厚阻燃板基层，挂网，3.5米以上部位封9.5混合腻子三遍，深灰色乳胶漆三遍;9.5厚纸面石膏板，3.5米以下部位局部木龙骨骨架，防火涂料三遍，封单层单面12厚阻燃板、9.5厚纸面石膏板，白色乳胶漆三遍，乳胶漆墙面拉花工艺，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（防开裂撞角）;120g、20*20mm阴阳角条（异形+弧面结构，石膏板裁切+拼接成弧形）</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"C:\\Users\\ADMINI~1\\AppData\\Local\\Temp\\ksohtml\\clip_cell_image5.png"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200275" cy="781050"/>
                      <wp:effectExtent l="0" t="0" r="9525" b="0"/>
                      <wp:docPr id="5" name="图片 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IMG_260"/>
                              <pic:cNvPicPr>
                                <a:picLocks noChangeAspect="1"/>
                              </pic:cNvPicPr>
                              <pic:nvPr/>
                            </pic:nvPicPr>
                            <pic:blipFill>
                              <a:blip r:embed="rId17"/>
                              <a:stretch/>
                            </pic:blipFill>
                            <pic:spPr bwMode="auto">
                              <a:xfrm>
                                <a:off x="0" y="0"/>
                                <a:ext cx="2200275"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3.2pt;height:61.5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19</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入口展示墙B</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（异形+弧面结构）</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材料品种、工艺:75系列轻钢龙骨，单层单面12厚阻燃板基层，挂网，3.5米以上部位封9.5混合腻子三遍，深灰色乳胶漆三遍;9.5厚纸面石膏板，3.5米以下部位局部木龙骨骨架，防火涂料三遍，封单层单面12厚阻燃板、9.5厚纸面石膏板，白色乳胶漆三遍，乳胶漆墙面拉花工艺，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（防开裂撞角）;120g、20*20mm阴阳角条（异形+弧面结构，石膏板裁切+拼接成弧形）</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"C:\\Users\\ADMINI~1\\AppData\\Local\\Temp\\ksohtml\\clip_cell_image10.png"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047875" cy="771525"/>
                      <wp:effectExtent l="0" t="0" r="9525" b="9525"/>
                      <wp:docPr id="6" name="图片 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62"/>
                              <pic:cNvPicPr>
                                <a:picLocks noChangeAspect="1"/>
                              </pic:cNvPicPr>
                              <pic:nvPr/>
                            </pic:nvPicPr>
                            <pic:blipFill>
                              <a:blip r:embed="rId18"/>
                              <a:stretch/>
                            </pic:blipFill>
                            <pic:spPr bwMode="auto">
                              <a:xfrm>
                                <a:off x="0" y="0"/>
                                <a:ext cx="20478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1.2pt;height:60.8pt;mso-wrap-distance-left:0.0pt;mso-wrap-distance-top:0.0pt;mso-wrap-distance-right:0.0pt;mso-wrap-distance-bottom:0.0pt;" stroked="f">
                      <v:path textboxrect="0,0,0,0"/>
                      <v:imagedata r:id="rId18"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19</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过道墙体结构-展厅外走廊</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材料品种、工艺:75系列轻钢龙骨，单层双面12厚阻燃板基层（因发光立体字有防火要求），挂网，3.5米以上部位封9.5混合腻子三遍，深灰色乳胶漆三遍;9.5厚纸面石膏板，3.5米以下部位局部木龙骨骨架，防火涂料三遍，封单层双面12厚阻燃板、9.5厚纸面石膏板，白色乳胶漆三遍，乳胶漆墙面拉花工艺，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（防开裂撞角）;120g、20*20mm阴阳角条等。</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"C:\\Users\\ADMINI~1\\AppData\\Local\\Temp\\ksohtml\\clip_cell_image8.png"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095500" cy="695325"/>
                      <wp:effectExtent l="0" t="0" r="0" b="9525"/>
                      <wp:docPr id="7" name="图片 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IMG_264"/>
                              <pic:cNvPicPr>
                                <a:picLocks noChangeAspect="1"/>
                              </pic:cNvPicPr>
                              <pic:nvPr/>
                            </pic:nvPicPr>
                            <pic:blipFill>
                              <a:blip r:embed="rId19"/>
                              <a:stretch/>
                            </pic:blipFill>
                            <pic:spPr bwMode="auto">
                              <a:xfrm>
                                <a:off x="0" y="0"/>
                                <a:ext cx="20955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5.0pt;height:54.8pt;mso-wrap-distance-left:0.0pt;mso-wrap-distance-top:0.0pt;mso-wrap-distance-right:0.0pt;mso-wrap-distance-bottom:0.0pt;" stroked="f">
                      <v:path textboxrect="0,0,0,0"/>
                      <v:imagedata r:id="rId19"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24.5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技术产业展示区域墙+电视机墙面</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（异形+弧面结构、开电视机槽）</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材料品种、工艺:75系列轻钢龙骨，单层双面12厚阻燃板基层，挂网，3.5米以上部位封9.5混合腻子三遍，深灰色乳胶漆三遍;9.5厚纸面石膏板，3.5米以下部位局部木龙骨骨架，防火涂料三遍，封单层双面12厚阻燃板（因发光立体字有防火要求）、9.5厚纸面石膏板，白色乳胶漆三遍，乳胶漆墙面拉花工艺，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（防开裂撞角）;120g、20*20mm阴阳角条等。顶部与走道吊顶拼接，并做美化结构。</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"C:\\Users\\ADMINI~1\\AppData\\Local\\Temp\\ksohtml\\clip_cell_image12.png"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124075" cy="752475"/>
                      <wp:effectExtent l="0" t="0" r="9525" b="9525"/>
                      <wp:docPr id="8" name="图片 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65"/>
                              <pic:cNvPicPr>
                                <a:picLocks noChangeAspect="1"/>
                              </pic:cNvPicPr>
                              <pic:nvPr/>
                            </pic:nvPicPr>
                            <pic:blipFill>
                              <a:blip r:embed="rId20"/>
                              <a:stretch/>
                            </pic:blipFill>
                            <pic:spPr bwMode="auto">
                              <a:xfrm>
                                <a:off x="0" y="0"/>
                                <a:ext cx="212407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7.2pt;height:59.2pt;mso-wrap-distance-left:0.0pt;mso-wrap-distance-top:0.0pt;mso-wrap-distance-right:0.0pt;mso-wrap-distance-bottom:0.0pt;" stroked="f">
                      <v:path textboxrect="0,0,0,0"/>
                      <v:imagedata r:id="rId20"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28</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团队成员墙-电视机墙面</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（开电视机槽）</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材料品种、工艺:75系列轻钢龙骨，单层单面12厚阻燃板基层，3.5米以上部位封9.5混合腻子三遍，深灰色乳胶漆三遍;9.5厚纸面石膏板，3.5米以下部位局部木龙骨骨架，防火涂料三遍，单层单面封12厚阻燃板、9.5厚纸面石膏板，白色乳胶漆三遍，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（防开裂撞角）;电视机槽边缘≥8-15mm，槽宽10-15cm、槽深≤板厚2/3，转角做R≥3mm圆角，槽外壁距边缘≥8mm防漏光炸裂，长度＞1.2m时板厚≥5mm并加加强筋/背板，施工中做好灯槽清洁，确保结构稳定边缘规整清晰。</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"C:\\Users\\ADMINI~1\\AppData\\Local\\Temp\\ksohtml\\clip_cell_image13.png"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066925" cy="771525"/>
                      <wp:effectExtent l="0" t="0" r="9525" b="9525"/>
                      <wp:docPr id="9" name="图片 7"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IMG_267"/>
                              <pic:cNvPicPr>
                                <a:picLocks noChangeAspect="1"/>
                              </pic:cNvPicPr>
                              <pic:nvPr/>
                            </pic:nvPicPr>
                            <pic:blipFill>
                              <a:blip r:embed="rId21"/>
                              <a:stretch/>
                            </pic:blipFill>
                            <pic:spPr bwMode="auto">
                              <a:xfrm>
                                <a:off x="0" y="0"/>
                                <a:ext cx="206692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2.8pt;height:60.8pt;mso-wrap-distance-left:0.0pt;mso-wrap-distance-top:0.0pt;mso-wrap-distance-right:0.0pt;mso-wrap-distance-bottom:0.0pt;" stroked="f">
                      <v:path textboxrect="0,0,0,0"/>
                      <v:imagedata r:id="rId21"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9</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关键装备展示墙</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（异形+弧面结构、开电视机槽）</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材料品种、工艺:75系列轻钢龙骨，单层单面12厚阻燃板基层，3.5米以上部位封9.5混合腻子三遍，深灰色乳胶漆三遍;9.5厚纸面石膏板，3.5米以下部位局部木龙骨骨架，防火涂料三遍，封单层单面12厚阻燃板、9.5厚纸面石膏板，白色乳胶漆三遍，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（防开裂撞角）;核心材料包括9.5mm耐潮石膏板、铝型材/不锈钢围边、铝塑板/PVC背</w:t>
            </w:r>
            <w:r>
              <w:rPr>
                <w:rFonts w:hint="eastAsia" w:ascii="宋体" w:hAnsi="宋体" w:cs="宋体"/>
                <w:color w:val="auto"/>
                <w:sz w:val="13"/>
                <w:szCs w:val="13"/>
                <w:highlight w:val="none"/>
                <w:lang w:bidi="ar"/>
              </w:rPr>
              <w:t xml:space="preserve">板，光源及电器采用24V漫反射LED软灯带、LED驱动电源（功率≥总功率1.2-1.5倍）、国标铜芯线、PVC穿线管、接线端子及热缩管，辅助辅料有铝箔反光纸、中性硅酮耐候胶（严禁用酸性玻璃胶）、自攻螺丝/拉铆钉、木工胶/免钉胶、无尘布+酒精，施工需用雕刻机（配Φ6-8mm铣刀）、吸尘器等工具，灯槽路径距边缘≥8-15mm，槽宽10-15cm、槽深≤板厚2/3，转角做R≥3mm圆角，槽外壁距边缘≥8mm防漏光炸裂，长度＞1.2m时板厚≥5mm并加加强筋/背板，施工中做好灯槽清洁，确保发光柔和无眩光、结构稳定。</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"C:\\Users\\ADMINI~1\\AppData\\Local\\Temp\\ksohtml\\clip_cell_image14.png"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066925" cy="714375"/>
                      <wp:effectExtent l="0" t="0" r="9525" b="9525"/>
                      <wp:docPr id="10" name="图片 8"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IMG_269"/>
                              <pic:cNvPicPr>
                                <a:picLocks noChangeAspect="1"/>
                              </pic:cNvPicPr>
                              <pic:nvPr/>
                            </pic:nvPicPr>
                            <pic:blipFill>
                              <a:blip r:embed="rId22"/>
                              <a:stretch/>
                            </pic:blipFill>
                            <pic:spPr bwMode="auto">
                              <a:xfrm>
                                <a:off x="0" y="0"/>
                                <a:ext cx="206692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2.8pt;height:56.2pt;mso-wrap-distance-left:0.0pt;mso-wrap-distance-top:0.0pt;mso-wrap-distance-right:0.0pt;mso-wrap-distance-bottom:0.0pt;" stroked="f">
                      <v:path textboxrect="0,0,0,0"/>
                      <v:imagedata r:id="rId22"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21</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研究所简介墙</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（异形-结构）</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材料品种、工艺:75系列轻钢龙骨，单层单面12厚阻燃板基层，3.5米以上部位封9.5混合腻子三遍，深灰色乳胶漆三遍;9.5厚纸面石膏板，3.5米以下部位局部木龙骨骨架，防火涂料三遍，封单层单面12厚阻燃板、9.5厚纸面石膏板，白色乳胶漆三遍，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（防开裂撞角）;核心材料包括9.5mm耐潮石膏板、铝型材/不锈钢围边、铝塑板/PVC背</w:t>
            </w:r>
            <w:r>
              <w:rPr>
                <w:rFonts w:hint="eastAsia" w:ascii="宋体" w:hAnsi="宋体" w:cs="宋体"/>
                <w:color w:val="auto"/>
                <w:sz w:val="13"/>
                <w:szCs w:val="13"/>
                <w:highlight w:val="none"/>
                <w:lang w:bidi="ar"/>
              </w:rPr>
              <w:t xml:space="preserve">板，光源及电器采用24V漫反射LED软灯带、LED驱动电源（功率≥总功率1.2-1.5倍）、国标铜芯线、PVC穿线管、接线端子及热缩管，辅助辅料有铝箔反光纸、中性硅酮耐候胶（严禁用酸性玻璃胶）、自攻螺丝/拉铆钉、木工胶/免钉胶、无尘布+酒精，施工需用雕刻机（配Φ6-8mm铣刀）、吸尘器等工具，灯槽路径距边缘≥8-15mm，槽宽10-15cm、槽深≤板厚2/3，转角做R≥3mm圆角，槽外壁距边缘≥8mm防漏光炸裂，长度＞1.2m时板厚≥5mm并加加强筋/背板，施工中做好灯槽清洁，确保发光柔和无眩光、结构稳定。</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"C:\\Users\\ADMINI~1\\AppData\\Local\\Temp\\ksohtml\\clip_cell_image7.png"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209800" cy="809625"/>
                      <wp:effectExtent l="0" t="0" r="0" b="9525"/>
                      <wp:docPr id="11" name="图片 9"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descr="IMG_271"/>
                              <pic:cNvPicPr>
                                <a:picLocks noChangeAspect="1"/>
                              </pic:cNvPicPr>
                              <pic:nvPr/>
                            </pic:nvPicPr>
                            <pic:blipFill>
                              <a:blip r:embed="rId23"/>
                              <a:stretch/>
                            </pic:blipFill>
                            <pic:spPr bwMode="auto">
                              <a:xfrm>
                                <a:off x="0" y="0"/>
                                <a:ext cx="2209800"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74.0pt;height:63.8pt;mso-wrap-distance-left:0.0pt;mso-wrap-distance-top:0.0pt;mso-wrap-distance-right:0.0pt;mso-wrap-distance-bottom:0.0pt;" stroked="f">
                      <v:path textboxrect="0,0,0,0"/>
                      <v:imagedata r:id="rId23"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6.4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展厅内部入口</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过道亚克力背发光施工相关内容总结如下：主体材料采用5-15mm透明/瓷白/彩色光学级覆膜亚克力板、铝型材/不锈钢围边、铝塑板/PVC背板；光源电器选用24V LED软灯带（3</w:t>
            </w:r>
            <w:r>
              <w:rPr>
                <w:rFonts w:hint="eastAsia" w:ascii="宋体" w:hAnsi="宋体" w:cs="宋体"/>
                <w:color w:val="auto"/>
                <w:sz w:val="13"/>
                <w:szCs w:val="13"/>
                <w:highlight w:val="none"/>
                <w:lang w:bidi="ar"/>
              </w:rPr>
              <w:t xml:space="preserve">528/5050）/漫反射模组、匹配总功率的LED驱动电源（功率≥总功率1.2–1.5倍）、国标铜芯线、PVC穿线管、接线端子及热缩管；辅助辅料含中性硅酮密封胶（禁用酸性玻璃胶）、反射纸/铝箔、螺丝、压线扣等；施工需用雕刻机（配Φ6–8mm铣刀）、吸尘器、气枪等工具，灯槽路径距边缘≥8–15mm，槽宽200–250mm、槽深8–100mm（≤板厚2/3），转角做R≥3mm圆角，槽外壁距边缘≥8mm防漏光炸裂，长度＞1.2m时板厚≥5mm并加加强筋/背板，槽内刷白色乳胶漆三遍，确保发光均匀、不吃色、结构稳定。</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"C:\\Users\\ADMINI~1\\AppData\\Local\\Temp\\ksohtml\\clip_cell_image16.png"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247900" cy="809625"/>
                      <wp:effectExtent l="0" t="0" r="0" b="9525"/>
                      <wp:docPr id="12" name="图片 10"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descr="IMG_273"/>
                              <pic:cNvPicPr>
                                <a:picLocks noChangeAspect="1"/>
                              </pic:cNvPicPr>
                              <pic:nvPr/>
                            </pic:nvPicPr>
                            <pic:blipFill>
                              <a:blip r:embed="rId24"/>
                              <a:stretch/>
                            </pic:blipFill>
                            <pic:spPr bwMode="auto">
                              <a:xfrm>
                                <a:off x="0" y="0"/>
                                <a:ext cx="2247900"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77.0pt;height:63.8pt;mso-wrap-distance-left:0.0pt;mso-wrap-distance-top:0.0pt;mso-wrap-distance-right:0.0pt;mso-wrap-distance-bottom:0.0pt;" stroked="f">
                      <v:path textboxrect="0,0,0,0"/>
                      <v:imagedata r:id="rId24"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21</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展厅内部入口两侧墙体</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材料品种、工艺:75系列轻钢龙骨，单层双面12厚阻燃板基层，挂网，3.5米以上部位封9.5混合腻子三遍，深灰色乳胶漆三遍;9.5厚纸面石膏板，3.5米以下部位局部木龙骨骨架，防火涂料三遍，封单层双面12厚阻燃板、9.5厚纸面石膏板，白色乳胶漆三遍，乳胶漆墙面拉花工艺，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（防开裂撞角）;120g、20*20mm阴阳角条等。</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以上价格包含材料费、辅材费、人工费、运输等费用。</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"C:\\Users\\ADMINI~1\\AppData\\Local\\Temp\\ksohtml\\clip_cell_image18.png"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209800" cy="790575"/>
                      <wp:effectExtent l="0" t="0" r="0" b="9525"/>
                      <wp:docPr id="13" name="图片 1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IMG_275"/>
                              <pic:cNvPicPr>
                                <a:picLocks noChangeAspect="1"/>
                              </pic:cNvPicPr>
                              <pic:nvPr/>
                            </pic:nvPicPr>
                            <pic:blipFill>
                              <a:blip r:embed="rId25"/>
                              <a:stretch/>
                            </pic:blipFill>
                            <pic:spPr bwMode="auto">
                              <a:xfrm>
                                <a:off x="0" y="0"/>
                                <a:ext cx="2209800"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74.0pt;height:62.2pt;mso-wrap-distance-left:0.0pt;mso-wrap-distance-top:0.0pt;mso-wrap-distance-right:0.0pt;mso-wrap-distance-bottom:0.0pt;" stroked="f">
                      <v:path textboxrect="0,0,0,0"/>
                      <v:imagedata r:id="rId25"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18.76</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升降模型集成展示墙</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材料品种、工艺:75系列轻钢龙骨，单层双面12厚阻燃板基层（vr室有防火要求），3.5米以上部位封9.5混合腻子三遍，深灰色乳胶漆三遍;9.5厚纸面石膏板，3.5米以下部位局部木龙骨骨架，防火涂料三遍，封单层双面12厚阻燃板、9.5厚纸面石膏板，白色乳胶漆三遍，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（防开裂撞角）;（部分加装木工板）</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"C:\\Users\\ADMINI~1\\AppData\\Local\\Temp\\ksohtml\\clip_cell_image19.png"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200275" cy="800100"/>
                      <wp:effectExtent l="0" t="0" r="9525" b="0"/>
                      <wp:docPr id="14" name="图片 1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descr="IMG_277"/>
                              <pic:cNvPicPr>
                                <a:picLocks noChangeAspect="1"/>
                              </pic:cNvPicPr>
                              <pic:nvPr/>
                            </pic:nvPicPr>
                            <pic:blipFill>
                              <a:blip r:embed="rId26"/>
                              <a:stretch/>
                            </pic:blipFill>
                            <pic:spPr bwMode="auto">
                              <a:xfrm>
                                <a:off x="0" y="0"/>
                                <a:ext cx="220027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73.2pt;height:63.0pt;mso-wrap-distance-left:0.0pt;mso-wrap-distance-top:0.0pt;mso-wrap-distance-right:0.0pt;mso-wrap-distance-bottom:0.0pt;" stroked="f">
                      <v:path textboxrect="0,0,0,0"/>
                      <v:imagedata r:id="rId26"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31.5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钢木结构模型顶部吊顶</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200*200内嵌2公分灯带钢木结构吊顶的核心材料、施工关键要求总结如下：核心材料包括9.5mm耐潮石膏板、内嵌不锈钢支撑架、不锈钢吊筋、铝型材/不锈钢围边、铝塑板/PVC背板、2*2cm嵌入式柔性硅胶灯带免穿套管，光源及电器采用24V漫反射LE</w:t>
            </w:r>
            <w:r>
              <w:rPr>
                <w:rFonts w:hint="eastAsia" w:ascii="宋体" w:hAnsi="宋体" w:cs="宋体"/>
                <w:color w:val="auto"/>
                <w:sz w:val="13"/>
                <w:szCs w:val="13"/>
                <w:highlight w:val="none"/>
                <w:lang w:bidi="ar"/>
              </w:rPr>
              <w:t xml:space="preserve">D软灯带（2公分宽，适配内嵌需求）、LED驱动电源（功率≥总功率1.2-1.5倍）、国标铜芯线、PVC穿线管、接线端子及热缩管，辅助辅料有铝箔反光纸、中性硅酮耐候胶（严禁用酸性玻璃胶）、自攻螺丝/拉铆钉、木工胶/免钉胶、无尘布+酒精，施工需用雕刻机（配Φ6-8mm铣刀）、吸尘器等工具，灯槽按200*200尺寸施工，路径距边缘≥8-15mm，槽深≤板厚2/3，转角做R≥3mm圆角，槽外壁距边缘≥8mm防漏光炸裂，长度＞1.2m时选用≥5mm厚板材并加装加强筋/背板，施工中做好灯槽清洁，确保发光柔和、结构稳定。</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"C:\\Users\\ADMINI~1\\AppData\\Local\\Temp\\ksohtml\\clip_cell_image25.png"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1152525" cy="895350"/>
                      <wp:effectExtent l="0" t="0" r="9525" b="0"/>
                      <wp:docPr id="15" name="图片 13"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3" descr="IMG_279"/>
                              <pic:cNvPicPr>
                                <a:picLocks noChangeAspect="1"/>
                              </pic:cNvPicPr>
                              <pic:nvPr/>
                            </pic:nvPicPr>
                            <pic:blipFill>
                              <a:blip r:embed="rId27"/>
                              <a:stretch/>
                            </pic:blipFill>
                            <pic:spPr bwMode="auto">
                              <a:xfrm>
                                <a:off x="0" y="0"/>
                                <a:ext cx="115252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0.8pt;height:70.5pt;mso-wrap-distance-left:0.0pt;mso-wrap-distance-top:0.0pt;mso-wrap-distance-right:0.0pt;mso-wrap-distance-bottom:0.0pt;" stroked="f">
                      <v:path textboxrect="0,0,0,0"/>
                      <v:imagedata r:id="rId27"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模型升降机+控制器</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模型升降装置（拉伸高度3-12米，承重200KG）：</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核心参数：升降行程：3m–12m；额定载荷：200kg；三点刚性支撑；运行速度 5米/分钟；全程水平度≤3mm/10m；重复定位精度 ±5mm。</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结构组成：采用多节套筒式伸缩立柱（3–4 节），三点呈三角形布局，内置精密直线导轨与耐磨导向套，伸缩无晃动、无卡滞。顶部为高强度承载平台，预留 T 型槽与预埋螺纹孔，方便模型固定。驱动系统采用伺服电机 + 行星减速机 + 滚珠丝杠 / 齿条齿轮，三柱闭环电子同步，同速同位移无差错。底座整体焊接，通过膨胀螺栓固定，倾覆安全系数≥3 倍。</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用材与工艺：主体伸缩立柱采用Q355B 低合金高强度钢，外筒壁厚 8–10mm，中筒 6–8mm，内筒 5–6mm；平台面板 Q235B 钢板 12–16mm。关键传动件采用 40CrMo、42CrMo 调质淬火处理。焊接采用气体保护焊，焊后去应力处理，关键受力焊缝探伤合格。表面经喷砂 Sa2.5 级、环氧富锌底漆 + 聚氨酯面漆处理，防锈耐磨。</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安全与控制：支持自动升降、点动微调、高度设定。具备机械棘爪防坠、电磁锁止、双限位、过载保护、急停、断电自锁等多重安全保障，运行稳定可靠。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展厅顶部钢木异形结构灯箱</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200*200内嵌2公分灯带吊顶的核心材料、施工关键要求总结如下：核心材料包括9.5mm耐潮石膏板、铝型材/不锈钢围边、内嵌不锈钢支撑架、不锈钢吊筋、铝塑板/PVC背板、，光源及电器采用24V漫反射LED软灯带（2公分宽，适配内嵌需求）、2</w:t>
            </w:r>
            <w:r>
              <w:rPr>
                <w:rFonts w:hint="eastAsia" w:ascii="宋体" w:hAnsi="宋体" w:cs="宋体"/>
                <w:color w:val="auto"/>
                <w:sz w:val="13"/>
                <w:szCs w:val="13"/>
                <w:highlight w:val="none"/>
                <w:lang w:bidi="ar"/>
              </w:rPr>
              <w:t xml:space="preserve">*2cm嵌入式柔性硅胶灯带免穿套管、LED驱动电源（功率≥总功率1.2-1.5倍）、国标铜芯线、PVC穿线管、接线端子及热缩管，辅助辅料有铝箔反光纸、中性硅酮耐候胶（严禁用酸性玻璃胶）、自攻螺丝/拉铆钉、木工胶/免钉胶、无尘布+酒精，施工需用雕刻机（配Φ6-8mm铣刀）、吸尘器等工具，灯槽按200*200尺寸施工，路径距边缘≥8-15mm，槽深≤板厚2/3，转角做R≥3mm圆角，槽外壁距边缘≥8mm防漏光炸裂，长度＞1.2m时选用≥5mm厚板材并加装加强筋/背板，施工中做好灯槽清洁，确保发光柔和、结构稳定。</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"C:\\Users\\ADMINI~1\\AppData\\Local\\Temp\\ksohtml\\clip_cell_image26.png"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1990725" cy="933450"/>
                      <wp:effectExtent l="0" t="0" r="9525" b="0"/>
                      <wp:docPr id="16" name="图片 14"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descr="IMG_282"/>
                              <pic:cNvPicPr>
                                <a:picLocks noChangeAspect="1"/>
                              </pic:cNvPicPr>
                              <pic:nvPr/>
                            </pic:nvPicPr>
                            <pic:blipFill>
                              <a:blip r:embed="rId28"/>
                              <a:stretch/>
                            </pic:blipFill>
                            <pic:spPr bwMode="auto">
                              <a:xfrm>
                                <a:off x="0" y="0"/>
                                <a:ext cx="19907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56.8pt;height:73.5pt;mso-wrap-distance-left:0.0pt;mso-wrap-distance-top:0.0pt;mso-wrap-distance-right:0.0pt;mso-wrap-distance-bottom:0.0pt;" stroked="f">
                      <v:path textboxrect="0,0,0,0"/>
                      <v:imagedata r:id="rId28"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108</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048" w:type="dxa"/>
            <w:vAlign w:val="center"/>
            <w:vMerge w:val="restart"/>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VR展厅内部墙体</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材料品种、工艺:75系列轻钢龙骨，单层双面12厚阻燃板基层（vr室有防火要求），挂网，3.5米以上部位封9.5混合腻子三遍，深灰色乳胶漆三遍;9.5厚纸面石膏板，3.5米以下部位局部木龙骨骨架，防火涂料三遍，封单层双面12厚阻燃板、9.5厚纸面石膏板，白色乳胶漆三遍，乳胶漆墙面拉花工艺，局部投影成像漆面层;50mm高金石膏板；</w:t>
            </w:r>
            <w:r>
              <w:rPr>
                <w:rFonts w:hint="eastAsia" w:ascii="宋体" w:hAnsi="宋体" w:cs="宋体"/>
                <w:color w:val="auto"/>
                <w:sz w:val="13"/>
                <w:szCs w:val="13"/>
                <w:highlight w:val="none"/>
                <w:lang w:eastAsia="zh-CN" w:bidi="ar"/>
              </w:rPr>
              <w:t xml:space="preserve">混合腻子金属踢脚线</w:t>
            </w:r>
            <w:r>
              <w:rPr>
                <w:rFonts w:hint="eastAsia" w:ascii="宋体" w:hAnsi="宋体" w:cs="宋体"/>
                <w:color w:val="auto"/>
                <w:sz w:val="13"/>
                <w:szCs w:val="13"/>
                <w:highlight w:val="none"/>
                <w:lang w:bidi="ar"/>
              </w:rPr>
              <w:t xml:space="preserve">（防开裂撞角）;120g、20*20mm阴阳角条等。</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"C:\\Users\\ADMINI~1\\AppData\\Local\\Temp\\ksohtml\\clip_cell_image21.png"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238375" cy="714375"/>
                      <wp:effectExtent l="0" t="0" r="9525" b="9525"/>
                      <wp:docPr id="17" name="图片 15"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5" descr="IMG_283"/>
                              <pic:cNvPicPr>
                                <a:picLocks noChangeAspect="1"/>
                              </pic:cNvPicPr>
                              <pic:nvPr/>
                            </pic:nvPicPr>
                            <pic:blipFill>
                              <a:blip r:embed="rId29"/>
                              <a:stretch/>
                            </pic:blipFill>
                            <pic:spPr bwMode="auto">
                              <a:xfrm>
                                <a:off x="0" y="0"/>
                                <a:ext cx="223837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76.2pt;height:56.2pt;mso-wrap-distance-left:0.0pt;mso-wrap-distance-top:0.0pt;mso-wrap-distance-right:0.0pt;mso-wrap-distance-bottom:0.0pt;" stroked="f">
                      <v:path textboxrect="0,0,0,0"/>
                      <v:imagedata r:id="rId29"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90</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墙体砌筑：采用灰色加气混凝土实心砌块，以水泥砂浆坐浆、铺浆砌筑，灰缝饱满、横平竖直，按规范设置拉结筋。</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基层处理：砌体墙面清理、洒水湿润，不同材质交接处及墙面易开裂部位增设抗裂钢丝网。</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抹灰施工：墙面满挂钢丝网固定牢固，分遍采用水泥砂浆打底、找平、罩面，抹灰层平整密实，防止空鼓开裂。</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"C:\\Users\\ADMINI~1\\AppData\\Local\\Temp\\ksohtml\\clip_cell_image22.png"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295525" cy="809625"/>
                      <wp:effectExtent l="0" t="0" r="9525" b="9525"/>
                      <wp:docPr id="18" name="图片 16"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6" descr="IMG_284"/>
                              <pic:cNvPicPr>
                                <a:picLocks noChangeAspect="1"/>
                              </pic:cNvPicPr>
                              <pic:nvPr/>
                            </pic:nvPicPr>
                            <pic:blipFill>
                              <a:blip r:embed="rId30"/>
                              <a:stretch/>
                            </pic:blipFill>
                            <pic:spPr bwMode="auto">
                              <a:xfrm>
                                <a:off x="0" y="0"/>
                                <a:ext cx="22955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80.8pt;height:63.8pt;mso-wrap-distance-left:0.0pt;mso-wrap-distance-top:0.0pt;mso-wrap-distance-right:0.0pt;mso-wrap-distance-bottom:0.0pt;" stroked="f">
                      <v:path textboxrect="0,0,0,0"/>
                      <v:imagedata r:id="rId30"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38</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vr室内墙面饰乳胶漆专用投影漆：防火涂料三遍，9.5厚纸面石膏板，白色乳胶漆三遍，局部投影成像漆面层;</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"C:\\Users\\ADMINI~1\\AppData\\Local\\Temp\\ksohtml\\clip_cell_image23.png"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314575" cy="723900"/>
                      <wp:effectExtent l="0" t="0" r="9525" b="0"/>
                      <wp:docPr id="19" name="图片 17"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descr="IMG_285"/>
                              <pic:cNvPicPr>
                                <a:picLocks noChangeAspect="1"/>
                              </pic:cNvPicPr>
                              <pic:nvPr/>
                            </pic:nvPicPr>
                            <pic:blipFill>
                              <a:blip r:embed="rId31"/>
                              <a:stretch/>
                            </pic:blipFill>
                            <pic:spPr bwMode="auto">
                              <a:xfrm>
                                <a:off x="0" y="0"/>
                                <a:ext cx="23145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82.2pt;height:57.0pt;mso-wrap-distance-left:0.0pt;mso-wrap-distance-top:0.0pt;mso-wrap-distance-right:0.0pt;mso-wrap-distance-bottom:0.0pt;" stroked="f">
                      <v:path textboxrect="0,0,0,0"/>
                      <v:imagedata r:id="rId31"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75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vr展厅门</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洞口尺寸 1800mm×2200mm，对加气块砖砌墙面基层进行加固处理，确保门套安装基层坚实、无松动、无空鼓。</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门套制作与安装采用定制成品门套（门套基层 + 门套板 + 门套线），基层板防腐、防潮处理；门套板与墙体间隙采用发泡胶密实填充，外侧用水泥砂浆收口封堵；门套线与墙面、地面交接处打胶密封，保证安装牢固、垂直方正、无缝隙变形。</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门扇定制与加工定制双开白色木门扇（对开均分），门扇基材烘干定型、防开裂处理，表面采用白色环保漆喷涂 / 免漆饰面，漆面均匀光滑、无色差、无流挂、无划痕；门扇尺寸与洞口精准匹配，预留合理伸缩缝与安装间隙。</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五金选配与安装配置合页（125mm*38mm表面拉丝工艺转动角度365°、主体材质不锈钢）、门锁（不锈钢，锁芯等级A级、锁芯材质锌包铜）、、门吸、防撞条等配套五金，五金安装牢固、位置精准、开启顺畅；合页开槽深浅一致、贴合严密，门锁安装方正，门扇关闭严密、无松动、无异响。</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现场组装与调试：校正门扇垂直度、水平度、缝隙均匀度；对开门扇闭合后缝隙一致、对齐平整，开关灵活无卡顿、无擦碰，闭合严密不透光。</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"C:\\Users\\ADMINI~1\\AppData\\Local\\Temp\\ksohtml\\clip_cell_image24.png"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1428750" cy="1000125"/>
                      <wp:effectExtent l="0" t="0" r="0" b="9525"/>
                      <wp:docPr id="20" name="图片 18"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 descr="IMG_286"/>
                              <pic:cNvPicPr>
                                <a:picLocks noChangeAspect="1"/>
                              </pic:cNvPicPr>
                              <pic:nvPr/>
                            </pic:nvPicPr>
                            <pic:blipFill>
                              <a:blip r:embed="rId32"/>
                              <a:stretch/>
                            </pic:blipFill>
                            <pic:spPr bwMode="auto">
                              <a:xfrm>
                                <a:off x="0" y="0"/>
                                <a:ext cx="1428750" cy="1000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2.5pt;height:78.8pt;mso-wrap-distance-left:0.0pt;mso-wrap-distance-top:0.0pt;mso-wrap-distance-right:0.0pt;mso-wrap-distance-bottom:0.0pt;" stroked="f">
                      <v:path textboxrect="0,0,0,0"/>
                      <v:imagedata r:id="rId32"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电视机后侧隐形门、灯箱后开门</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洞口尺寸 2000mm（高）×1000mm，门扇采用高密度实木多层板加固基材 ，整体与周边展厅墙面材质无缝融合、视觉隐形。</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门扇内部实木方通加强龙骨与防变形加固结构，双面封板加固处理，长期使用不变形、不下垂、不翘曲；门套采用实木多层板基层 + 防腐防潮处理，与加气块砌体墙面牢固固定，基层平整坚实、无松动、无空鼓。</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五金系统采用隐藏式特大号重型合页263g/个 150mm*29mm*3.8mm厚 + 暗藏式门锁 / 隐形拉手，全部五金件隐蔽安装，无外露凸起部件；超强磁吸反弹器、门扇与墙面交接处缝隙均匀顺直，缝隙采用精细收口处理，关闭后与墙面齐平、无高低差、无明显分界。</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安装过程严格控制垂直度、平整度、对缝精度。</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"C:\\Users\\ADMINI~1\\AppData\\Local\\Temp\\ksohtml\\clip_cell_image27.png"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247900" cy="914400"/>
                      <wp:effectExtent l="0" t="0" r="0" b="0"/>
                      <wp:docPr id="21" name="图片 19"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G_288"/>
                              <pic:cNvPicPr>
                                <a:picLocks noChangeAspect="1"/>
                              </pic:cNvPicPr>
                              <pic:nvPr/>
                            </pic:nvPicPr>
                            <pic:blipFill>
                              <a:blip r:embed="rId33"/>
                              <a:stretch/>
                            </pic:blipFill>
                            <pic:spPr bwMode="auto">
                              <a:xfrm>
                                <a:off x="0" y="0"/>
                                <a:ext cx="22479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77.0pt;height:72.0pt;mso-wrap-distance-left:0.0pt;mso-wrap-distance-top:0.0pt;mso-wrap-distance-right:0.0pt;mso-wrap-distance-bottom:0.0pt;" stroked="f">
                      <v:path textboxrect="0,0,0,0"/>
                      <v:imagedata r:id="rId33"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樘</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消防栓隐形门、排烟机房门</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墙面一体化木饰面隐形门，门洞尺寸约 2000mm（高）×1000mm（宽），门扇采用阻燃型高密度实木多层板加固基材 + A 级 防火木饰面，与墙面材质无缝融合、视觉隐形。门扇内部增设防火处理实木方通加强龙骨与防变形加固结构，双面封板采用阻燃板材加固处理，门扇整体达到相应防火等级要求，长期使用不变形、不下垂、不翘曲；门套与门同材质，与加气块砌体墙面牢固固定，基层平整坚实、无松动、无空鼓，门套与墙体间隙采用防火密封材料密实封堵，满足防火分隔构造要求。五金系统采用</w:t>
            </w:r>
            <w:r>
              <w:rPr>
                <w:rFonts w:hint="eastAsia" w:ascii="宋体" w:hAnsi="宋体" w:cs="宋体"/>
                <w:color w:val="auto"/>
                <w:sz w:val="13"/>
                <w:szCs w:val="13"/>
                <w:highlight w:val="none"/>
                <w:lang w:eastAsia="zh-CN" w:bidi="ar"/>
              </w:rPr>
              <w:t xml:space="preserve">隐藏式</w:t>
            </w:r>
            <w:r>
              <w:rPr>
                <w:rFonts w:hint="eastAsia" w:ascii="宋体" w:hAnsi="宋体" w:cs="宋体"/>
                <w:color w:val="auto"/>
                <w:sz w:val="13"/>
                <w:szCs w:val="13"/>
                <w:highlight w:val="none"/>
                <w:lang w:bidi="ar"/>
              </w:rPr>
              <w:t xml:space="preserve">特大号重型防火合页263g/个 150mm*29mm*3.8mm厚+ 暗藏式防火门锁 / 隐形拉手，全部五金件隐蔽安装，无外露凸起部件；门扇与墙面交接处缝隙均匀顺直，缝隙采用防火密封胶及防火收口条精细收口处理，关闭后与墙面齐平、无高低差、无明显分界，同时保证防火密闭性能。安装过程严格控制垂直度、平整度、对缝精度及防火构造节点质量，满足使用功能与防火安全双重要求。</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fldChar w:fldCharType="begin"/>
            </w:r>
            <w:r>
              <w:rPr>
                <w:rFonts w:hint="eastAsia" w:ascii="宋体" w:hAnsi="宋体" w:cs="宋体"/>
                <w:color w:val="auto"/>
                <w:sz w:val="13"/>
                <w:szCs w:val="13"/>
                <w:highlight w:val="none"/>
                <w:lang w:bidi="ar"/>
              </w:rPr>
              <w:instrText xml:space="preserve">INCLUDEPICTURE \d "C:\\Users\\ADMINI~1\\AppData\\Local\\Temp\\ksohtml\\clip_cell_image28.png" \* MERGEFORMATINET </w:instrText>
            </w:r>
            <w:r>
              <w:rPr>
                <w:rFonts w:hint="eastAsia" w:ascii="宋体" w:hAnsi="宋体" w:cs="宋体"/>
                <w:color w:val="auto"/>
                <w:sz w:val="13"/>
                <w:szCs w:val="13"/>
                <w:highlight w:val="none"/>
                <w:lang w:bidi="ar"/>
              </w:rPr>
              <w:fldChar w:fldCharType="separate"/>
            </w:r>
            <w:r>
              <w:rPr>
                <w:rFonts w:hint="eastAsia" w:ascii="宋体" w:hAnsi="宋体" w:cs="宋体"/>
                <w:color w:val="auto"/>
                <w:sz w:val="13"/>
                <w:szCs w:val="13"/>
                <w:highlight w:val="none"/>
                <w:lang w:bidi="ar"/>
              </w:rPr>
              <mc:AlternateContent>
                <mc:Choice Requires="wpg">
                  <w:drawing>
                    <wp:inline xmlns:wp="http://schemas.openxmlformats.org/drawingml/2006/wordprocessingDrawing" distT="0" distB="0" distL="0" distR="0">
                      <wp:extent cx="2257425" cy="828675"/>
                      <wp:effectExtent l="0" t="0" r="9525" b="9525"/>
                      <wp:docPr id="22" name="图片 20"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0" descr="IMG_290"/>
                              <pic:cNvPicPr>
                                <a:picLocks noChangeAspect="1"/>
                              </pic:cNvPicPr>
                              <pic:nvPr/>
                            </pic:nvPicPr>
                            <pic:blipFill>
                              <a:blip r:embed="rId34"/>
                              <a:stretch/>
                            </pic:blipFill>
                            <pic:spPr bwMode="auto">
                              <a:xfrm>
                                <a:off x="0" y="0"/>
                                <a:ext cx="22574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77.8pt;height:65.2pt;mso-wrap-distance-left:0.0pt;mso-wrap-distance-top:0.0pt;mso-wrap-distance-right:0.0pt;mso-wrap-distance-bottom:0.0pt;" stroked="f">
                      <v:path textboxrect="0,0,0,0"/>
                      <v:imagedata r:id="rId34" o:title=""/>
                    </v:shape>
                  </w:pict>
                </mc:Fallback>
              </mc:AlternateContent>
            </w:r>
            <w:r>
              <w:rPr>
                <w:rFonts w:hint="eastAsia" w:ascii="宋体" w:hAnsi="宋体" w:cs="宋体"/>
                <w:color w:val="auto"/>
                <w:sz w:val="13"/>
                <w:szCs w:val="13"/>
                <w:highlight w:val="none"/>
                <w:lang w:bidi="ar"/>
              </w:rPr>
              <w:fldChar w:fldCharType="end"/>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樘</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踢脚线</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U型极简踢脚线航空铝型材；阳极氧化；氟碳喷涂；8cm高， 内含阳角、阴角、堵头、中接、槽内木方5mm等配件</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窗户四周墙体美化处理</w:t>
            </w:r>
            <w:r/>
          </w:p>
        </w:tc>
        <w:tc>
          <w:tcPr>
            <w:tcBorders>
              <w:top w:val="single" w:color="000000" w:sz="4" w:space="0"/>
              <w:left w:val="single" w:color="000000" w:sz="4" w:space="0"/>
              <w:bottom w:val="single" w:color="000000" w:sz="4" w:space="0"/>
              <w:right w:val="single" w:color="000000" w:sz="4" w:space="0"/>
            </w:tcBorders>
            <w:tcW w:w="3726"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窗户四周墙体美化处理，打磨墙体及柱面，腻子找平，9.5厚纸面石膏板，白色乳胶漆三遍，乳胶漆墙面拉花工艺。</w:t>
            </w:r>
            <w:r/>
          </w:p>
        </w:tc>
        <w:tc>
          <w:tcPr>
            <w:tcBorders>
              <w:top w:val="single" w:color="000000" w:sz="4" w:space="0"/>
              <w:left w:val="single" w:color="000000" w:sz="4" w:space="0"/>
              <w:bottom w:val="single" w:color="000000" w:sz="4" w:space="0"/>
              <w:right w:val="single" w:color="000000" w:sz="4" w:space="0"/>
            </w:tcBorders>
            <w:tcW w:w="5593" w:type="dxa"/>
            <w:vAlign w:val="center"/>
            <w:textDirection w:val="lrTb"/>
            <w:noWrap w:val="false"/>
          </w:tcPr>
          <w:p>
            <w:pPr>
              <w:jc w:val="left"/>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200</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三、</w:t>
            </w:r>
            <w:r/>
          </w:p>
        </w:tc>
        <w:tc>
          <w:tcPr>
            <w:gridSpan w:val="3"/>
            <w:tcBorders>
              <w:top w:val="single" w:color="000000" w:sz="4" w:space="0"/>
              <w:left w:val="single" w:color="000000" w:sz="4" w:space="0"/>
              <w:bottom w:val="single" w:color="000000" w:sz="4" w:space="0"/>
              <w:right w:val="single" w:color="000000" w:sz="4" w:space="0"/>
            </w:tcBorders>
            <w:tcW w:w="10367"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美工部分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大标题发光字</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亚克力发光字：字面采用高品质透光亚克力板，厚度 4cm 整料精切，材质透明度高、无杂质、无气泡、抗黄变、耐老化；字体轮廓按设计图纸数控精密切割，边缘精细打磨抛光处理，切口光滑圆润、无毛刺、无崩边，字体造型精准规整，线条流畅挺拔。</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发光结构与光源配置字体背部内置高品质低压 LED 软灯带 ，确保发光无暗区、无色差，光线柔和不刺眼；LED 光源采用直流低压供电，安全稳定、节能环保、使用寿命长；</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磨砂面 UV 上色处理，颜色均匀一致，背发光无漏光、无杂光。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1cm雪弗板+2mm亚克力字-中文</w:t>
            </w:r>
            <w:r/>
          </w:p>
        </w:tc>
        <w:tc>
          <w:tcPr>
            <w:gridSpan w:val="2"/>
            <w:tcBorders>
              <w:top w:val="single" w:color="000000" w:sz="4" w:space="0"/>
              <w:left w:val="single" w:color="000000" w:sz="4" w:space="0"/>
              <w:bottom w:val="single" w:color="000000" w:sz="4" w:space="0"/>
              <w:right w:val="single" w:color="000000" w:sz="4" w:space="0"/>
            </w:tcBorders>
            <w:tcW w:w="9319" w:type="dxa"/>
            <w:vAlign w:val="center"/>
            <w:vMerge w:val="restart"/>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所有文案字体：字体全新透苯亚克力板，厚度 10mm材质纯净无杂点、无气泡、无应力纹，具备良好的耐候性与抗黄变性能，保证长期使用不变形、不褪色、不开裂。</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造型切割工艺严格按照设计字形与尺寸进行 1:1 放样，采用数控精密切割成型，切割路径顺滑、转角圆润，字形比例精准、轮廓挺拔；切割完成后对字体边缘进行精细打磨、倒角抛光处理，去除毛刺与崩边，侧面光洁透亮，手感顺滑无划手。</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表面处理工艺UV 喷涂工艺，漆面均匀附着、附着力强，无色差、无流挂、无颗粒；</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雪弗板基材处理：1cm符合国标环保标准的雪弗板，切割至设计尺寸，打磨四周边角至圆润（避免尖锐），用无尘布擦拭表面，去除灰尘、油污，确保表面干燥、平整（无凸起、凹陷）；亚克力激光雕刻至与雪弗板表面尺寸匹配，画面对准雪弗板上，平稳吸附，调整位置确保画面居中、无偏移，画面色彩均匀、无漏喷、无划痕，</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含笔画拼接人工费、含异形画面损耗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1cm雪弗板+2mm亚克力字-英文</w:t>
            </w:r>
            <w:r/>
          </w:p>
        </w:tc>
        <w:tc>
          <w:tcPr>
            <w:gridSpan w:val="2"/>
            <w:tcBorders>
              <w:top w:val="single" w:color="000000" w:sz="4" w:space="0"/>
              <w:left w:val="single" w:color="000000" w:sz="4" w:space="0"/>
              <w:bottom w:val="single" w:color="000000" w:sz="4" w:space="0"/>
              <w:right w:val="single" w:color="000000" w:sz="4" w:space="0"/>
            </w:tcBorders>
            <w:tcW w:w="9319"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1cm雪弗板+磁吸画面图文</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① 雪弗板基材预处理：1cm厚环保雪弗板（符合展厅环保国标），表面打磨平整、去除毛刺，无灰尘、油污，干燥无水分；② 磁吸基层安装：雪弗板表面均匀涂刷环保专用</w:t>
            </w:r>
            <w:r>
              <w:rPr>
                <w:rFonts w:hint="eastAsia" w:ascii="宋体" w:hAnsi="宋体" w:cs="宋体"/>
                <w:color w:val="auto"/>
                <w:sz w:val="13"/>
                <w:szCs w:val="13"/>
                <w:highlight w:val="none"/>
                <w:lang w:eastAsia="zh-CN" w:bidi="ar"/>
              </w:rPr>
              <w:t xml:space="preserve">胶黏剂</w:t>
            </w:r>
            <w:r>
              <w:rPr>
                <w:rFonts w:hint="eastAsia" w:ascii="宋体" w:hAnsi="宋体" w:cs="宋体"/>
                <w:color w:val="auto"/>
                <w:sz w:val="13"/>
                <w:szCs w:val="13"/>
                <w:highlight w:val="none"/>
                <w:lang w:bidi="ar"/>
              </w:rPr>
              <w:t xml:space="preserve">，将厚度0.5mm磁吸片平整贴合，按压固定，静置24小时确保粘接牢固，无空鼓、脱落；③ 磁吸画面制作：选用高清uv磁吸膜设计内容vu印刷画面，精准裁剪至与雪弗板、磁吸铁片一致尺寸，边缘裁剪整齐，无毛边、歪斜；④ 画面贴合与调试：磁吸画面对准雪弗板上的磁吸基层，平稳吸附，调整位置确保画面居中、无偏移，画面色彩均匀、无漏喷、无划痕，磁吸吸附牢固（轻拉不脱落），雪弗板边角无破损，整体贴合紧密，适配展厅文化墙可更换、易维护的需求。</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含异形画面损耗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22</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雪弗板四面包边+水晶膜画面图文</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①基材处理：1cm符合国标环保标准的雪弗板，切割至设计尺寸，打磨四周边角至圆润（避免尖锐），用无尘布擦拭表面，去除灰尘、油污，确保表面干燥、平整（无凸起、凹陷）；② 包边处理：选用与雪弗板适配的PVC包边条（厚度与雪弗板一致），用环保专用</w:t>
            </w:r>
            <w:r>
              <w:rPr>
                <w:rFonts w:hint="eastAsia" w:ascii="宋体" w:hAnsi="宋体" w:cs="宋体"/>
                <w:color w:val="auto"/>
                <w:sz w:val="13"/>
                <w:szCs w:val="13"/>
                <w:highlight w:val="none"/>
                <w:lang w:eastAsia="zh-CN" w:bidi="ar"/>
              </w:rPr>
              <w:t xml:space="preserve">胶黏剂</w:t>
            </w:r>
            <w:r>
              <w:rPr>
                <w:rFonts w:hint="eastAsia" w:ascii="宋体" w:hAnsi="宋体" w:cs="宋体"/>
                <w:color w:val="auto"/>
                <w:sz w:val="13"/>
                <w:szCs w:val="13"/>
                <w:highlight w:val="none"/>
                <w:lang w:bidi="ar"/>
              </w:rPr>
              <w:t xml:space="preserve">均匀涂抹包边条内侧，贴合雪弗板四周边缘，按压牢固，多余</w:t>
            </w:r>
            <w:r>
              <w:rPr>
                <w:rFonts w:hint="eastAsia" w:ascii="宋体" w:hAnsi="宋体" w:cs="宋体"/>
                <w:color w:val="auto"/>
                <w:sz w:val="13"/>
                <w:szCs w:val="13"/>
                <w:highlight w:val="none"/>
                <w:lang w:eastAsia="zh-CN" w:bidi="ar"/>
              </w:rPr>
              <w:t xml:space="preserve">胶黏剂</w:t>
            </w:r>
            <w:r>
              <w:rPr>
                <w:rFonts w:hint="eastAsia" w:ascii="宋体" w:hAnsi="宋体" w:cs="宋体"/>
                <w:color w:val="auto"/>
                <w:sz w:val="13"/>
                <w:szCs w:val="13"/>
                <w:highlight w:val="none"/>
                <w:lang w:bidi="ar"/>
              </w:rPr>
              <w:t xml:space="preserve">及时清理，确保包边无松动、无翘边，拼接处无缝隙、无毛刺；③ 水晶贴膜处理：选用高透水晶贴膜（符合环保、耐磨损标准），裁剪至与雪弗板表面尺寸匹配，撕去贴膜底纸，从雪弗板一端平稳贴合，用刮板匀速刮平，排出贴膜与雪弗板之间的气泡，避免出现褶皱、起翘；④ 收尾处理：贴合完成后，修剪贴膜多余边角，与包边条衔接平整，检查贴膜表面无划痕、无气泡，包边牢固。</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含异形画面损耗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10</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2cm雪弗板+2mm亚克力</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①基材处理：2cm符合国标环保标准的雪弗板，切割至设计尺寸，打磨四周边角至圆润（避免尖锐），用无尘布擦拭表面，去除灰尘、油污，确保表面干燥、平整（无凸起、凹陷）；② 亚克力处理：选用高透工艺品级亚克力（符合环保、耐磨损标准），激光雕刻至与雪弗板表面尺寸匹配，高清亚克力设计内容精准裁剪至与雪弗板一致尺寸，边缘裁剪整齐，无毛边、歪斜；④ 画面贴合与调试：画面对准雪弗板上，平稳吸附，调整位置确保画面居中、无偏移，画面色彩均匀、无漏喷、无划痕，</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含异形画面损耗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23</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墙纸</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画面主材采用280g宣绒布，布面纤维细腻、绒感柔和、哑光不反光，具备良好的挺括度与尺寸稳定性，抗拉扯、不易卷边、不易变形，色彩吸附性强。</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UV 印刷打印工艺：文件处理对设计文件进行色彩校准、尺寸精准定位、出血位预留，确保图案、文字、色彩比例准确，避免打印偏差。</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上墙安装工艺：基层处理墙面基层为乳胶漆墙面，墙面涂刷环保型渗透型基膜，均匀滚涂一遍，自然晾干≥12 小时，确保完全成膜干燥，避免后期起鼓、脱层、发霉。</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粘贴工艺：采用环保中性强力墙面专用胶进行粘贴，胶层薄厚均匀、不漏涂、不堆积；收口与修整画面边缘与墙面交接处顺直平整，无翘边、无错位；</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含异形画面损耗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150</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灯箱画面</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核心材料包括9.5mm耐潮石膏板、pvc围边、铝塑板/PVC背</w:t>
            </w:r>
            <w:r>
              <w:rPr>
                <w:rFonts w:hint="eastAsia" w:ascii="宋体" w:hAnsi="宋体" w:cs="宋体"/>
                <w:color w:val="auto"/>
                <w:sz w:val="13"/>
                <w:szCs w:val="13"/>
                <w:highlight w:val="none"/>
                <w:lang w:bidi="ar"/>
              </w:rPr>
              <w:t xml:space="preserve">板，光源及电器采用24V漫反射LED软灯带、LED驱动电源（功率≥总功率1.2-1.5倍）、国标铜芯线、PVC穿线管、接线端子及热缩管，辅助辅料有铝箔反光纸、中性硅酮耐候胶（严禁用酸性玻璃胶）、自攻螺丝/拉铆钉、木工胶/免钉胶、无尘布+酒精，施工需用雕刻机（配Φ6-8mm铣刀）、吸尘器等工具，灯槽路径距边缘≥8-15mm，槽宽10-15cm、槽深≤板厚2/3，转角做R≥3mm圆角，槽外壁距边缘≥8mm防漏光炸裂，长度＞1.2m时板厚≥5mm并加加强筋/背板，施工中做好灯槽清洁，确保发光柔和无眩光、结构稳定。</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含异形画面损耗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20</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四、</w:t>
            </w:r>
            <w:r/>
          </w:p>
        </w:tc>
        <w:tc>
          <w:tcPr>
            <w:gridSpan w:val="3"/>
            <w:tcBorders>
              <w:top w:val="single" w:color="000000" w:sz="4" w:space="0"/>
              <w:left w:val="single" w:color="000000" w:sz="4" w:space="0"/>
              <w:bottom w:val="single" w:color="000000" w:sz="4" w:space="0"/>
              <w:right w:val="single" w:color="000000" w:sz="4" w:space="0"/>
            </w:tcBorders>
            <w:tcW w:w="10367"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多媒体及沙盘模型部分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48" w:type="dxa"/>
            <w:vAlign w:val="center"/>
            <w:vMerge w:val="restart"/>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电视机</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LED 低反屏 900分区 1700nits  100英寸 3840*2160分辨率  、288Hz刷屏率  、 屏幕比例16：</w:t>
            </w:r>
            <w:r>
              <w:rPr>
                <w:rFonts w:hint="eastAsia" w:ascii="宋体" w:hAnsi="宋体" w:cs="宋体"/>
                <w:color w:val="auto"/>
                <w:sz w:val="13"/>
                <w:szCs w:val="13"/>
                <w:highlight w:val="none"/>
                <w:lang w:bidi="ar"/>
              </w:rPr>
              <w:t xml:space="preserve">9 、操作系统：安卓 、1700nits峰值亮度、 miniled 1092分区高阶背光分区、 light sensor光传感器、 17000000：1*动态对比度 、HDMI2.1*2 、 HDMI2.0*1、USD3.0+USB2.0、Network连接网线、Antenna 连接有线电视、Optical连接音响、NFC遥控功能、微距贴墙壁挂、CPU：crotex-A73四核 内存4GB+64GB、GPU:G52 MC1、支持蓝牙5.2、扬声器：5单元，2高音、2全频、1低频、扬声器功率2*15w+25w</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LED 低反屏 900分区 1700nits  75英寸 3840*2160分辨率 288Hz刷屏率  、 屏幕比例16：</w:t>
            </w:r>
            <w:r>
              <w:rPr>
                <w:rFonts w:hint="eastAsia" w:ascii="宋体" w:hAnsi="宋体" w:cs="宋体"/>
                <w:color w:val="auto"/>
                <w:sz w:val="13"/>
                <w:szCs w:val="13"/>
                <w:highlight w:val="none"/>
                <w:lang w:bidi="ar"/>
              </w:rPr>
              <w:t xml:space="preserve">9 、操作系统：安卓 、1700nits峰值亮度、 miniled 1092分区高阶背光分区、 light sensor光传感器、 17000000：1*动态对比度 、HDMI2.1*2 、 HDMI2.0*1、USD3.0+USB2.0、Network连接网线、Antenna 连接有线电视、Optical连接音响、NFC遥控功能、微距贴墙壁挂、CPU：crotex-A73四核 内存4GB+64GB、GPU:G52 MC1、支持蓝牙5.2、扬声器：5单元，2高音、2全频、1低频、扬声器功率2*15w+25w</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55英寸 288Hz超高刷4K高清  384</w:t>
            </w:r>
            <w:r>
              <w:rPr>
                <w:rFonts w:hint="eastAsia" w:ascii="宋体" w:hAnsi="宋体" w:cs="宋体"/>
                <w:color w:val="auto"/>
                <w:sz w:val="13"/>
                <w:szCs w:val="13"/>
                <w:highlight w:val="none"/>
                <w:lang w:bidi="ar"/>
              </w:rPr>
              <w:t xml:space="preserve">0×2160分辨率  屏幕比例16：9 、操作系统：安卓 、1700nits峰值亮度、 miniled 1092分区高阶背光分区、 light sensor光传感器、 17000000：1*动态对比度 、HDMI2.1*2 、 HDMI2.0*1、USD3.0+USB2.0、Network连接网线、Antenna 连接有线电视、Optical连接音响、NFC遥控功能、微距贴墙壁挂、CPU：5*A55、GPUG52MC1、内存：3GB+64GB、蓝牙：支持蓝牙5.2、发声单元2单元、扬声器最大功率：2*12w</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多媒体沙盘部分</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1、模型外径尺寸为直径3.5m的圆，整体比例约为1/3000，局部地标性建筑放大制作，约为1/1000；</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2、建筑部分采用ABS和亚克力板材，使用CAD定制设计的建筑外观和尺寸，通过精雕加工设备，雕刻切割，加工精度为0.01mm；</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3、景观采用2mm亚克力制作水系，1.5mmABS雕刻喷漆后制作道路，3mm泡沫板堆叠山体，切削后上腻子粉，然后通过强力胶将模型专用草粉，铺上，形成山川，水系和路网；</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4、绿植采用模型专用塑料树枝加上模型专用树粉根据模型比例和尺寸要求进行栽种，数量约为300棵</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5.多媒体沙盘</w:t>
            </w:r>
            <w:r>
              <w:rPr>
                <w:rFonts w:hint="eastAsia" w:ascii="宋体" w:hAnsi="宋体" w:cs="宋体"/>
                <w:color w:val="auto"/>
                <w:sz w:val="13"/>
                <w:szCs w:val="13"/>
                <w:highlight w:val="none"/>
                <w:lang w:eastAsia="zh-CN" w:bidi="ar"/>
              </w:rPr>
              <w:t xml:space="preserve">底座</w:t>
            </w:r>
            <w:r>
              <w:rPr>
                <w:rFonts w:hint="eastAsia" w:ascii="宋体" w:hAnsi="宋体" w:cs="宋体"/>
                <w:color w:val="auto"/>
                <w:sz w:val="13"/>
                <w:szCs w:val="13"/>
                <w:highlight w:val="none"/>
                <w:lang w:bidi="ar"/>
              </w:rPr>
              <w:t xml:space="preserve">采用多层板做基础造型，外覆密度板，打磨后上腻子，再做烤漆，底部加装LED回光灯带，烤漆面积约为9</w:t>
            </w:r>
            <w:r>
              <w:rPr>
                <w:rFonts w:hint="eastAsia" w:ascii="宋体" w:hAnsi="宋体" w:cs="宋体"/>
                <w:color w:val="auto"/>
                <w:sz w:val="13"/>
                <w:szCs w:val="13"/>
                <w:highlight w:val="none"/>
                <w:lang w:eastAsia="zh-CN" w:bidi="ar"/>
              </w:rPr>
              <w:t xml:space="preserve">平方米烤漆</w:t>
            </w:r>
            <w:r>
              <w:rPr>
                <w:rFonts w:hint="eastAsia" w:ascii="宋体" w:hAnsi="宋体" w:cs="宋体"/>
                <w:color w:val="auto"/>
                <w:sz w:val="13"/>
                <w:szCs w:val="13"/>
                <w:highlight w:val="none"/>
                <w:lang w:bidi="ar"/>
              </w:rPr>
              <w:t xml:space="preserve">面积约9平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48" w:type="dxa"/>
            <w:vAlign w:val="center"/>
            <w:vMerge w:val="restart"/>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vr展区</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vr激光投影仪：</w:t>
            </w:r>
            <w:r>
              <w:rPr>
                <w:rStyle w:val="1060"/>
                <w:rFonts w:hint="default"/>
                <w:color w:val="auto"/>
                <w:sz w:val="13"/>
                <w:szCs w:val="13"/>
                <w:highlight w:val="none"/>
                <w:lang w:bidi="ar"/>
              </w:rPr>
              <w:t xml:space="preserve">投影技术 Display Technology显示技术 Liquid Crystal Display 3x0.64”</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分辨率 WUXGA (1920x1200)</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投影亮度 亮度(ISO21118 流明) 6000</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CR对比度 对比度 5000000:1</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光源 光源类型 ；光源寿命 (小时) 激光；30000</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Noise</w:t>
            </w:r>
            <w:r>
              <w:rPr>
                <w:rStyle w:val="1060"/>
                <w:rFonts w:hint="eastAsia"/>
                <w:color w:val="auto"/>
                <w:sz w:val="13"/>
                <w:szCs w:val="13"/>
                <w:highlight w:val="none"/>
                <w:lang w:eastAsia="zh-CN" w:bidi="ar"/>
              </w:rPr>
              <w:t xml:space="preserve">噪声</w:t>
            </w:r>
            <w:r>
              <w:rPr>
                <w:rStyle w:val="1060"/>
                <w:rFonts w:hint="default"/>
                <w:color w:val="auto"/>
                <w:sz w:val="13"/>
                <w:szCs w:val="13"/>
                <w:highlight w:val="none"/>
                <w:lang w:bidi="ar"/>
              </w:rPr>
              <w:t xml:space="preserve">值 Noise(dB)@1m</w:t>
            </w:r>
            <w:r>
              <w:rPr>
                <w:rStyle w:val="1060"/>
                <w:rFonts w:hint="eastAsia"/>
                <w:color w:val="auto"/>
                <w:sz w:val="13"/>
                <w:szCs w:val="13"/>
                <w:highlight w:val="none"/>
                <w:lang w:eastAsia="zh-CN" w:bidi="ar"/>
              </w:rPr>
              <w:t xml:space="preserve">噪声</w:t>
            </w:r>
            <w:r>
              <w:rPr>
                <w:rStyle w:val="1060"/>
                <w:rFonts w:hint="default"/>
                <w:color w:val="auto"/>
                <w:sz w:val="13"/>
                <w:szCs w:val="13"/>
                <w:highlight w:val="none"/>
                <w:lang w:bidi="ar"/>
              </w:rPr>
              <w:t xml:space="preserve">值 节能模式: 最大29dB；标准模式: 39dB</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AR投影比例 Aspect Ratio投影比例 16:10(标准)/16:9/4:3/保持信号源比例</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Input输入接口：HDMI *2、VGA电脑输入 *1、Video复合视频 *1</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Audio in（L/R）音频输入RCA *1（L与R各1）：Audio in音频输入（mini jack,3.5mm） *1、HDMI *2、USB-A *1（1. 支持U盘直读；2. 支持可选件无线适配器WiFi Dongle连接；3.供电：5V /1.5A ）USB-B *1（显示功能）RJ45 *1（显示功能）</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Output输出接口：VGA电脑输出 *1、Audio out音频输出（mini</w:t>
            </w:r>
            <w:r>
              <w:rPr>
                <w:rStyle w:val="1050"/>
                <w:rFonts w:hint="default"/>
                <w:color w:val="auto"/>
                <w:sz w:val="13"/>
                <w:szCs w:val="13"/>
                <w:highlight w:val="none"/>
                <w:lang w:bidi="ar"/>
              </w:rPr>
              <w:t xml:space="preserve"> </w:t>
            </w:r>
            <w:r>
              <w:rPr>
                <w:rStyle w:val="1060"/>
                <w:rFonts w:hint="default"/>
                <w:color w:val="auto"/>
                <w:sz w:val="13"/>
                <w:szCs w:val="13"/>
                <w:highlight w:val="none"/>
                <w:lang w:bidi="ar"/>
              </w:rPr>
              <w:t xml:space="preserve">jack,3.5mm） *1</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Control控制接口：RS232 *1、USB-B *1(用于升级)、RJ45 *1</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音频 Speaker扬声器 1*16WPower</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Consumption</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功耗：Power Requirements电源 100~240V@ 50/60Hz、Power Consumption功耗 280W，&lt;0.5W（待机模式）、防尘 Dust filter防尘滤网 静电防尘滤网（ESD filter）</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Keystone校正 Keystone Correction校正：V: ±30°（自动+手动）H：±30°（手动）、四角校正、枕形/桶形校正、六角校正、多点网格校正</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OSD菜单 Languages菜单语言 支持26国可选语言</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包含所有辅材：系统所需的秋叶原2.0版本</w:t>
            </w:r>
            <w:r>
              <w:rPr>
                <w:rStyle w:val="1060"/>
                <w:rFonts w:hint="default"/>
                <w:color w:val="auto"/>
                <w:sz w:val="13"/>
                <w:szCs w:val="13"/>
                <w:highlight w:val="none"/>
                <w:lang w:bidi="ar"/>
              </w:rPr>
              <w:t xml:space="preserve">HDMI线材、秋叶原、水晶头、投影吊架投影仪专用吊装支架（含伸缩 / 固定款）、膨胀螺栓、膨胀管、自攻螺丝、机丝、金属固定挂件、角码、垫片、VGA/DP 转接线、信号延长器、电源排插、阻燃电源线、线管、线卡、扎带、理线器、线槽、墙面走线槽、投影仪防尘罩、镜头擦拭布、USB 延长线、电源延长线、多口充电器、信号放大器、网线、水晶头、配线架、地面走线槽、防踩压线板、绝缘胶带、扎带、魔术贴、理线收纳包、水平仪、卷尺、铅笔、冲击钻钻头、结构胶、免钉胶、玻璃胶、墙面开孔装饰盖、线盒、盖板、绝缘电工胶带、热缩管、接线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投影镜头：</w:t>
            </w:r>
            <w:r>
              <w:rPr>
                <w:rStyle w:val="1060"/>
                <w:rFonts w:hint="default"/>
                <w:color w:val="auto"/>
                <w:sz w:val="13"/>
                <w:szCs w:val="13"/>
                <w:highlight w:val="none"/>
                <w:lang w:bidi="ar"/>
              </w:rPr>
              <w:t xml:space="preserve">0.7:1原厂镜头*3支</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0.44:1原厂镜头*4支</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镜头缩放比 1.2X</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投射比 0.80:1（投影距离/画面横边） 0.64”LCD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光损 30% 对比标镜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镜头位移 ：上下位移：+36%，-18% 因机器而异 ；左右位移：±20%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芯片 0.64”LCD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MTF ＞45%@67lp/mm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焦距 11.74mm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F/# F2.2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横向色差 ：绿红：≤0.8pix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全视场 绿蓝：≤0.8pix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红蓝：≤0.8pix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镜头尺寸 Max.φ96*196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远心设计 是 适合用于远心光机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镜头材质 金属镜筒+玻璃+非球面镜片</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cave融合软件</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1.实时透视变换，可把任意影片放置于二，三，四，五，六折幕上，在第一视角上透视感和沉浸感，实现裸眼3D的震撼效果</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2.外视角：普通影片或者程序；内视角：标准全景影片或者程序。</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3.对于弧角Cave，碗幕，和球幕，使用普通相机或者全景相机自动融合。</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4.融合带调整1-16，0-255色阶可调整</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5.单台服务器支持4K、6K、8K、12K、15K支持60帧无损播放</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6.多台服务器同步：支持2-256台服务器的无损帧同步</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7.实时采集：支持2K、4K、8、12K、16K实时无损采集</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8.系统支持音频：系统音频的控制、静音、音量增、音量减</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9.分辨率支持800*600、1024*768、1280*800、1920*1080、1920*1200、3840*2160，支持60Hz刷新频率</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10.支持平面直角Cave融合.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通道</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工控服务器：</w:t>
            </w:r>
            <w:r>
              <w:rPr>
                <w:rStyle w:val="1060"/>
                <w:rFonts w:hint="default"/>
                <w:color w:val="auto"/>
                <w:sz w:val="13"/>
                <w:szCs w:val="13"/>
                <w:highlight w:val="none"/>
                <w:lang w:bidi="ar"/>
              </w:rPr>
              <w:t xml:space="preserve">基本硬件规格：</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运行电压: 100-240V, 50-60Hz</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机箱规格：2U 19” rack mount钢琴烤漆可拆卸除尘面板</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操作系统: Windows 10 Embedded 定制版系统</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CPU处理器: Intel 酷睿 I5-11代 6核12线程</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系统内存: 16GB  DDR4 3200 RAM</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系统硬盘：NVME M.2  500G</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风扇：铜芯温控散热静音风扇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无需拆机，一键重置BIOS</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无需</w:t>
            </w:r>
            <w:r>
              <w:rPr>
                <w:rStyle w:val="1060"/>
                <w:rFonts w:hint="eastAsia"/>
                <w:color w:val="auto"/>
                <w:sz w:val="13"/>
                <w:szCs w:val="13"/>
                <w:highlight w:val="none"/>
                <w:lang w:eastAsia="zh-CN" w:bidi="ar"/>
              </w:rPr>
              <w:t xml:space="preserve">烦琐</w:t>
            </w:r>
            <w:r>
              <w:rPr>
                <w:rStyle w:val="1060"/>
                <w:rFonts w:hint="default"/>
                <w:color w:val="auto"/>
                <w:sz w:val="13"/>
                <w:szCs w:val="13"/>
                <w:highlight w:val="none"/>
                <w:lang w:bidi="ar"/>
              </w:rPr>
              <w:t xml:space="preserve">Bios设置，拨钮设置来电开机/来电不开机</w:t>
            </w:r>
            <w:r>
              <w:rPr>
                <w:rStyle w:val="1060"/>
                <w:rFonts w:hint="default"/>
                <w:color w:val="auto"/>
                <w:sz w:val="13"/>
                <w:szCs w:val="13"/>
                <w:highlight w:val="none"/>
                <w:lang w:bidi="ar"/>
              </w:rPr>
              <w:br/>
            </w:r>
            <w:r>
              <w:rPr>
                <w:rStyle w:val="1060"/>
                <w:rFonts w:hint="eastAsia"/>
                <w:color w:val="auto"/>
                <w:sz w:val="13"/>
                <w:szCs w:val="13"/>
                <w:highlight w:val="none"/>
                <w:lang w:eastAsia="zh-CN" w:bidi="ar"/>
              </w:rPr>
              <w:t xml:space="preserve">无须设置</w:t>
            </w:r>
            <w:r>
              <w:rPr>
                <w:rStyle w:val="1060"/>
                <w:rFonts w:hint="default"/>
                <w:color w:val="auto"/>
                <w:sz w:val="13"/>
                <w:szCs w:val="13"/>
                <w:highlight w:val="none"/>
                <w:lang w:bidi="ar"/>
              </w:rPr>
              <w:t xml:space="preserve">默认支持网络唤醒，重置Bios也可一键唤醒</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支持板载6个串口，支持各种工业设备联动控制</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后置6个USB，高功率供电，支持各种互动摄像头远距离</w:t>
            </w:r>
            <w:r>
              <w:rPr>
                <w:rStyle w:val="1060"/>
                <w:rFonts w:hint="eastAsia"/>
                <w:color w:val="auto"/>
                <w:sz w:val="13"/>
                <w:szCs w:val="13"/>
                <w:highlight w:val="none"/>
                <w:lang w:eastAsia="zh-CN" w:bidi="ar"/>
              </w:rPr>
              <w:t xml:space="preserve">连接</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主板内置USB，允许用户内置 Ukey 或其他关键 USB 部件</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板载SPDIF接口，可支持DTS、PMC、杜比等各种5.1/7.1音频输出</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双通道内存设计，最高支持64G 3200HMz高速处理；</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采用笔记本内存设计，可达到A级抗震级别，防止长途发货内存松动问题。</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采用NVME4.0协议，支持最高6000MB/s读取速度。</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1个PCI-E 16x 4.0接口，最大限度</w:t>
            </w:r>
            <w:r>
              <w:rPr>
                <w:rStyle w:val="1060"/>
                <w:rFonts w:hint="eastAsia"/>
                <w:color w:val="auto"/>
                <w:sz w:val="13"/>
                <w:szCs w:val="13"/>
                <w:highlight w:val="none"/>
                <w:lang w:eastAsia="zh-CN" w:bidi="ar"/>
              </w:rPr>
              <w:t xml:space="preserve">地</w:t>
            </w:r>
            <w:r>
              <w:rPr>
                <w:rStyle w:val="1060"/>
                <w:rFonts w:hint="default"/>
                <w:color w:val="auto"/>
                <w:sz w:val="13"/>
                <w:szCs w:val="13"/>
                <w:highlight w:val="none"/>
                <w:lang w:bidi="ar"/>
              </w:rPr>
              <w:t xml:space="preserve">发挥显卡性能。</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2个PCI- E 4x 3.0接口，可连接各种扩展卡。</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具有独立WS开关跳针，可对接中控的开关卡，无需破坏机箱条线，简单、方便、稳定</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机箱宽高深(mm)：482mm、90mm、375mm</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显卡：NVIDIA Quadro A1000  接口4个miniDP（8GB显存）</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码率支持：最高支持10Gbit码率视频</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控制：支持通过网络控制设备开机、关机无需增加控制卡</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运行环境要求: </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温度: -20-65°C</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湿度: 5%-95% (non-condensing)</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海拔高度:0-5000m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多屏宝：</w:t>
            </w:r>
            <w:r>
              <w:rPr>
                <w:rStyle w:val="1060"/>
                <w:rFonts w:hint="default"/>
                <w:color w:val="auto"/>
                <w:sz w:val="13"/>
                <w:szCs w:val="13"/>
                <w:highlight w:val="none"/>
                <w:lang w:bidi="ar"/>
              </w:rPr>
              <w:t xml:space="preserve">输入接口：最高视频像素频率600MHz</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输出接口：最高视频像素频率330MHz</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支持分辨率：最高分辨率4x1920x1200@60Hz</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输入接口：HDMI接口、DP接口</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输入线缆：HDMI线3米内 、DP线3米内</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输出接口：4个HDMI输出</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支持屏幕：1*1 、1*2 、 1*3 、 1*4 、 2*1 、3*1 、 4*1 、 2*2</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输出线缆：支持15米(配置HDBT网传支持70米)</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供电电源：12V@2A AC-DC 电源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内置音箱立体声，提供至少5.1声道环绕声或全景声混音版本</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驱动单元：HF:1.75"×1+LF:8"×1；</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频率响应(±3dB)：61Hz--18kHz</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灵敏度(1m/1W)：95dB；</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最大声压级：124dB;</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功率（长期/峰值）:150W/300W；</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指向性（H×V）：100 °×60°；</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标称阻抗：8Ω；</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输入方式：NL4×2，+1 -1；</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音箱尺寸：250×286×442mm；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无线速率1200M、控制软件中控系统终端控制软件，软件要求：1、 设备集中管控</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1、支持展厅内各类设备统一接入与集中控制，涵盖显示设备（LED屏、拼接屏、投影仪、触摸一体机）、音视频设备（功放、调音台、麦克风、音箱）、灯光设备（基础照明、氛围灯、特效灯）、环境设备（空调、新风、窗帘）、互动设备（VR/AR终端、触摸屏、互动投影）、安防设备（摄像头、门禁、报警装置）等，实现“一键管控、全域协同”，打破设备孤岛。</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2、控制方式：支持手动控制、定时控制、场景联动控制、远程控制四种模式；手动控制可实现单设备独立操作（如开关、参数调节），定时控制可按日期、时段预设任务（如开馆、闭馆、设备巡检），远程控制支持电脑、平板、手机等终端无线操作，支持异地远程运维，无需现场值守。</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3、设备状态监测：实时采集所有接入设备的运行状态（如开关状态、工作参数、故障信息），以图形化、列表化形式展示，支持异常状态自动报警（报警方式包括弹窗、声音、短信、邮件），报警信息可记录、查询、导出，报警响应时间≤10s，支持故障定位与远程排查，提升运维效率。</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4、参数调节：支持音视频设备音量、音质、频道的精准调节；支持灯光亮度、色温、明暗渐变的无级调节；支持显示设备分辨率、亮度、对比度调节，支持多屏同步显示、分屏显示切换，满足不同展示场景需求。</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2、场景联动控制</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1、支持自定义场景模式（至少预设开馆、闭馆、日常运营、讲解、特殊活动、节能等6种基础场景），可根据展厅需求新增、编辑、删除场景，场景配置支持图形化拖拽操作，无需专业编程知识，便于非专业人员操作。</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2、场景联动逻辑：支持设备联动、时间联动、事件联动；设备联动可实现“一键切换场景”，触发后自动调整所有关联设备状态（如讲解场景触发后，自动开启对应区域灯光、播放讲解音频、切换显示内容）；时间联动可按预设时段自动切换场景；事件联动可根据设备状态、人员操作等事件触发场景切换（如人体感应触发互动设备启动），支持场景切换淡入淡出过渡效果，提升展示体验。</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3场景备份与恢复：支持场景配置文件的备份、导出、导入，可快速恢复场景配置，避免因系统故障、参数误操作导致场景丢失，保障展厅正常运营。</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3、多媒体内容管理</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1、支持多媒体内容（视频、图片、音频、PPT、文档、网页、互动课件等）的集中上传、分类管理、预览、编辑、删除，支持批量操作；支持内容标签化管理，可按展厅区域、展品类型、内容主题分类，便于快速检索。</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2、播放控制：支持单设备播放、多设备同步播放、分区域播放、循环播放、定时播放、插播等多种播放模式；支持播放进度实时监控，可随时暂停、停止、切换播放内容；支持4K及以上高清视频流畅播放，无卡顿、无拖影，视频加载时间≤3s，支持12K全景视频适配（若展厅有相关需求）。</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3、内容更新：支持远程更新多媒体内容，无需现场更换存储介质，可通过浏览器、移动终端上传更新，支持增量更新，减少带宽占用；支持内容更新日志记录，可追溯更新时间、更新人员、更新内容，确保内容管理可管控。</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包含设备一台：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投影四面立体动画制作</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三维建模，6k影片(素材资料收集、风格策划、平面设计、场景三维制作、动画内容制作、特效制作、渲染调色、剪辑合成)</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精细三维建模。核心模型包括：主气囊体积为4000立方米、全长约45米的飞艇主体，需呈现流线型空气动力学外形及多层复合材料材质；任务挂架系统</w:t>
            </w:r>
            <w:r>
              <w:rPr>
                <w:rFonts w:hint="eastAsia" w:ascii="宋体" w:hAnsi="宋体" w:cs="宋体"/>
                <w:color w:val="auto"/>
                <w:sz w:val="13"/>
                <w:szCs w:val="13"/>
                <w:highlight w:val="none"/>
                <w:lang w:eastAsia="zh-CN" w:bidi="ar"/>
              </w:rPr>
              <w:t xml:space="preserve">须具备</w:t>
            </w:r>
            <w:r>
              <w:rPr>
                <w:rFonts w:hint="eastAsia" w:ascii="宋体" w:hAnsi="宋体" w:cs="宋体"/>
                <w:color w:val="auto"/>
                <w:sz w:val="13"/>
                <w:szCs w:val="13"/>
                <w:highlight w:val="none"/>
                <w:lang w:bidi="ar"/>
              </w:rPr>
              <w:t xml:space="preserve">模块化可更换设计，并重点制作温室气体通量监测仪的三维“爪子”造型；系留缆绳需呈现光电复合结构，并支持电力脉冲与光纤光流的视觉特效；锚泊车需制作车载式结构，包含绞盘、发电机组，并分别呈现运输与工作两种状态；作业保障系统需搭建指挥方舱内部场景，包含数据大屏及操控台，并设计数据可视化界面。此外，还需制作无人机、传统系留飞艇、在轨卫星等对比与辅助模型，以及长三角城市群、风电场、工业园区、低空城市等五大应用场景的1:1环境模型。气体粒子系统需涵盖气溶胶颗粒物（PM1、PM2.5、PM10）、气体分子（O</w:t>
            </w:r>
            <w:r>
              <w:rPr>
                <w:rStyle w:val="1048"/>
                <w:rFonts w:hint="default"/>
                <w:color w:val="auto"/>
                <w:sz w:val="13"/>
                <w:szCs w:val="13"/>
                <w:highlight w:val="none"/>
                <w:lang w:bidi="ar"/>
              </w:rPr>
              <w:t xml:space="preserve">₃</w:t>
            </w:r>
            <w:r>
              <w:rPr>
                <w:rStyle w:val="1060"/>
                <w:rFonts w:hint="default"/>
                <w:color w:val="auto"/>
                <w:sz w:val="13"/>
                <w:szCs w:val="13"/>
                <w:highlight w:val="none"/>
                <w:lang w:bidi="ar"/>
              </w:rPr>
              <w:t xml:space="preserve">、SO</w:t>
            </w:r>
            <w:r>
              <w:rPr>
                <w:rStyle w:val="1048"/>
                <w:rFonts w:hint="default"/>
                <w:color w:val="auto"/>
                <w:sz w:val="13"/>
                <w:szCs w:val="13"/>
                <w:highlight w:val="none"/>
                <w:lang w:bidi="ar"/>
              </w:rPr>
              <w:t xml:space="preserve">₂</w:t>
            </w:r>
            <w:r>
              <w:rPr>
                <w:rStyle w:val="1060"/>
                <w:rFonts w:hint="default"/>
                <w:color w:val="auto"/>
                <w:sz w:val="13"/>
                <w:szCs w:val="13"/>
                <w:highlight w:val="none"/>
                <w:lang w:bidi="ar"/>
              </w:rPr>
              <w:t xml:space="preserve">、NO、NO</w:t>
            </w:r>
            <w:r>
              <w:rPr>
                <w:rStyle w:val="1048"/>
                <w:rFonts w:hint="default"/>
                <w:color w:val="auto"/>
                <w:sz w:val="13"/>
                <w:szCs w:val="13"/>
                <w:highlight w:val="none"/>
                <w:lang w:bidi="ar"/>
              </w:rPr>
              <w:t xml:space="preserve">₂</w:t>
            </w:r>
            <w:r>
              <w:rPr>
                <w:rStyle w:val="1060"/>
                <w:rFonts w:hint="default"/>
                <w:color w:val="auto"/>
                <w:sz w:val="13"/>
                <w:szCs w:val="13"/>
                <w:highlight w:val="none"/>
                <w:lang w:bidi="ar"/>
              </w:rPr>
              <w:t xml:space="preserve">、VOCs、OOMs）及温室气体（CO</w:t>
            </w:r>
            <w:r>
              <w:rPr>
                <w:rStyle w:val="1048"/>
                <w:rFonts w:hint="default"/>
                <w:color w:val="auto"/>
                <w:sz w:val="13"/>
                <w:szCs w:val="13"/>
                <w:highlight w:val="none"/>
                <w:lang w:bidi="ar"/>
              </w:rPr>
              <w:t xml:space="preserve">₂</w:t>
            </w:r>
            <w:r>
              <w:rPr>
                <w:rStyle w:val="1060"/>
                <w:rFonts w:hint="default"/>
                <w:color w:val="auto"/>
                <w:sz w:val="13"/>
                <w:szCs w:val="13"/>
                <w:highlight w:val="none"/>
                <w:lang w:bidi="ar"/>
              </w:rPr>
              <w:t xml:space="preserve">、CH</w:t>
            </w:r>
            <w:r>
              <w:rPr>
                <w:rStyle w:val="1048"/>
                <w:rFonts w:hint="default"/>
                <w:color w:val="auto"/>
                <w:sz w:val="13"/>
                <w:szCs w:val="13"/>
                <w:highlight w:val="none"/>
                <w:lang w:bidi="ar"/>
              </w:rPr>
              <w:t xml:space="preserve">₄</w:t>
            </w:r>
            <w:r>
              <w:rPr>
                <w:rStyle w:val="1060"/>
                <w:rFonts w:hint="default"/>
                <w:color w:val="auto"/>
                <w:sz w:val="13"/>
                <w:szCs w:val="13"/>
                <w:highlight w:val="none"/>
                <w:lang w:bidi="ar"/>
              </w:rPr>
              <w:t xml:space="preserve">、N</w:t>
            </w:r>
            <w:r>
              <w:rPr>
                <w:rStyle w:val="1048"/>
                <w:rFonts w:hint="default"/>
                <w:color w:val="auto"/>
                <w:sz w:val="13"/>
                <w:szCs w:val="13"/>
                <w:highlight w:val="none"/>
                <w:lang w:bidi="ar"/>
              </w:rPr>
              <w:t xml:space="preserve">₂</w:t>
            </w:r>
            <w:r>
              <w:rPr>
                <w:rStyle w:val="1060"/>
                <w:rFonts w:hint="default"/>
                <w:color w:val="auto"/>
                <w:sz w:val="13"/>
                <w:szCs w:val="13"/>
                <w:highlight w:val="none"/>
                <w:lang w:bidi="ar"/>
              </w:rPr>
              <w:t xml:space="preserve">O）。模型格式要求为FBX或OBJ，配合项目工程文件，材质贴图采用4K至8K的PBR流程，主资产面数控制在200万三角面以内，UV展开需为非重叠多象限布局，并建立远景、中景、近景三级LOD。</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二、素材资料收集</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项目前期需完成全面的素材资料收集工作。具体包括：收集飞艇技术参数、五大系统设计图、各应用场景实拍参考等资料，形成汇编文档；进行6K Raw格式的实拍素材采集，覆盖无锡滨湖、南京大学校园、实验室、风电场、工业园区、城市低空等场景；整理2012年至2026年的研发历程照片及项目里程碑影像，构建时间轴素材包；采集环境音、机械音、电子音效等音频素材，建立专用音效库。</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三、风格策划</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影片整体视觉定调为科技蓝搭配金色点缀，以冷色调为主氛围，突出未来感与科技感。篇章色彩方案如下：片头采用</w:t>
            </w:r>
            <w:r>
              <w:rPr>
                <w:rStyle w:val="1060"/>
                <w:rFonts w:hint="eastAsia"/>
                <w:color w:val="auto"/>
                <w:sz w:val="13"/>
                <w:szCs w:val="13"/>
                <w:highlight w:val="none"/>
                <w:lang w:eastAsia="zh-CN" w:bidi="ar"/>
              </w:rPr>
              <w:t xml:space="preserve">恢宏</w:t>
            </w:r>
            <w:r>
              <w:rPr>
                <w:rStyle w:val="1060"/>
                <w:rFonts w:hint="default"/>
                <w:color w:val="auto"/>
                <w:sz w:val="13"/>
                <w:szCs w:val="13"/>
                <w:highlight w:val="none"/>
                <w:lang w:bidi="ar"/>
              </w:rPr>
              <w:t xml:space="preserve">金蓝色调，产品拆解部分为冷峻银蓝，优势对比段落运用对比红蓝，应用场景融合自然与科技元素，尾篇则以温暖霞光收束。需要定制五大篇章标头字体，包括“科学重器·护航蓝天”、“五大系统·精密协同”、“五大优势·全面领先”、“五大领域·使命必达”、“时代担当·奋进不息”。动态风格需涵盖数据流穿梭、全息投影式标注、雷达图动态填充、粒子特效及三屏光柱汇聚等效果。四折幕空间规划需明确正面屏承载核心叙事，左右屏用于环境扩展与信息图谱，地面屏作为空间锚点、缆绳延伸及城市网格的载体。</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四、平面设计</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平面设计工作包括：五大篇章标头的视觉设计；五大优势雷达图、三平台对比图、时间轴及参数标注模板等数据可视化图表设计；缆绳多层结构图、五大系统架构图、航天航空验证流程图等信息图设计；解说词字幕样式、技术参数标注样式、关键词标签样式等字幕包装模板；以及排比句文字动画、片尾字幕卡片头片尾设计。所有设计需提供PSD或AI源文件。</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五、场景三维制作</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项目共需完成18个核心场景的三维制作，具体如下：</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片头部分包含两个场景：研究中心与南大场景（4秒），需呈现滨湖山水幻化为南大校徽、北大楼，最终凝聚为飞艇剪影，并实现光柱从三屏汇聚的特效；飞艇全貌场景（6秒），展示飞艇从剪影到全貌的展开，五大系统名称依次浮现。</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产品拆解部分包含五个场景：五大系统标注场景（3秒），飞艇旋转并标注五大部件名称，系统架构图一次展开；主气囊场景（6秒），飞艇旋转中主气囊高亮，展示材料结构及氦气分子动画；任务挂架场景（9秒），展示多类型挂架切换，气体粒子穿过监测仪的三维“爪子”造型；系留缆绳场景（8秒），展示缆绳全貌、内部结构及从锚泊车延伸的完整路径；锚泊车场景（5秒），展示快速部署、自动收放缆绳及车载移动功能，绞盘转动；作业保障系统场景（5秒），展示指挥方舱内景、数据大屏及贯穿三屏的数据流。</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核心优势部分包含三个场景：实验室攻关场景（11秒），展示科研人员调试设备、风洞试验、数据分析，时间轴贯穿左右屏；三平台对比场景（22秒），将无人机、擎天一号、传统系留飞艇并列对比，地面屏显示性能刻度尺；五大优势雷达图场景（3秒），雷达图动态填充各维度实拍画面，地面屏呈现优势关键词；未来展望场景（14秒），新旧飞艇轮廓叠加，展示体积放大3倍、载荷提升4倍及供电参数。</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应用场景部分包含五个场景：大气环境场景（7秒），长三角城市群航拍，污染物粒子（PM及气体分子）被飞艇“吸入”，粒子流动贯穿三屏；智慧气象场景（8秒），风电场航拍，激光风雷达采集数据，风玫瑰图及风机旋转；</w:t>
            </w:r>
            <w:r>
              <w:rPr>
                <w:rStyle w:val="1060"/>
                <w:rFonts w:hint="eastAsia"/>
                <w:color w:val="auto"/>
                <w:sz w:val="13"/>
                <w:szCs w:val="13"/>
                <w:highlight w:val="none"/>
                <w:lang w:eastAsia="zh-CN" w:bidi="ar"/>
              </w:rPr>
              <w:t xml:space="preserve">“双碳”</w:t>
            </w:r>
            <w:r>
              <w:rPr>
                <w:rStyle w:val="1060"/>
                <w:rFonts w:hint="default"/>
                <w:color w:val="auto"/>
                <w:sz w:val="13"/>
                <w:szCs w:val="13"/>
                <w:highlight w:val="none"/>
                <w:lang w:bidi="ar"/>
              </w:rPr>
              <w:t xml:space="preserve">生态场景（9秒），工业园区温室气体粒子（CO</w:t>
            </w:r>
            <w:r>
              <w:rPr>
                <w:rStyle w:val="1048"/>
                <w:rFonts w:hint="default"/>
                <w:color w:val="auto"/>
                <w:sz w:val="13"/>
                <w:szCs w:val="13"/>
                <w:highlight w:val="none"/>
                <w:lang w:bidi="ar"/>
              </w:rPr>
              <w:t xml:space="preserve">₂</w:t>
            </w:r>
            <w:r>
              <w:rPr>
                <w:rStyle w:val="1060"/>
                <w:rFonts w:hint="default"/>
                <w:color w:val="auto"/>
                <w:sz w:val="13"/>
                <w:szCs w:val="13"/>
                <w:highlight w:val="none"/>
                <w:lang w:bidi="ar"/>
              </w:rPr>
              <w:t xml:space="preserve">、CH</w:t>
            </w:r>
            <w:r>
              <w:rPr>
                <w:rStyle w:val="1048"/>
                <w:rFonts w:hint="default"/>
                <w:color w:val="auto"/>
                <w:sz w:val="13"/>
                <w:szCs w:val="13"/>
                <w:highlight w:val="none"/>
                <w:lang w:bidi="ar"/>
              </w:rPr>
              <w:t xml:space="preserve">₄</w:t>
            </w:r>
            <w:r>
              <w:rPr>
                <w:rStyle w:val="1060"/>
                <w:rFonts w:hint="default"/>
                <w:color w:val="auto"/>
                <w:sz w:val="13"/>
                <w:szCs w:val="13"/>
                <w:highlight w:val="none"/>
                <w:lang w:bidi="ar"/>
              </w:rPr>
              <w:t xml:space="preserve">、N</w:t>
            </w:r>
            <w:r>
              <w:rPr>
                <w:rStyle w:val="1048"/>
                <w:rFonts w:hint="default"/>
                <w:color w:val="auto"/>
                <w:sz w:val="13"/>
                <w:szCs w:val="13"/>
                <w:highlight w:val="none"/>
                <w:lang w:bidi="ar"/>
              </w:rPr>
              <w:t xml:space="preserve">₂</w:t>
            </w:r>
            <w:r>
              <w:rPr>
                <w:rStyle w:val="1060"/>
                <w:rFonts w:hint="default"/>
                <w:color w:val="auto"/>
                <w:sz w:val="13"/>
                <w:szCs w:val="13"/>
                <w:highlight w:val="none"/>
                <w:lang w:bidi="ar"/>
              </w:rPr>
              <w:t xml:space="preserve">O）采集，碳排放数据显示于左右屏；低空经济场景（10秒），城市低空无人机与eVTOL飞行器穿梭，飞艇作为空中交通指挥塔，飞行器航迹贯穿三屏；航天航空验证场景（11秒），展示发射前飞艇搭载同款光学传感器升空测试，以及入轨后卫星过境时飞艇同步观测、地面协同采集，实现天空地同步采集与交叉比对。</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尾篇场景（5秒），飞艇置于金色霞光中，字幕浮现，地面屏呈现地球弧线。</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六、动画内容制作</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动画制作需涵盖多种类型：飞艇升空动画需模拟从锚泊车释放、缆绳延伸至飞艇升空的完整过程，并实现缆绳张力动态模拟与高度刻度实时变化；部件高亮动画需对五大核心部件依次高亮并弹出标注，采用扫描线光效与缓动曲线；任务挂架切换动画需展示多类型挂架快速切换及气体粒子穿过监测仪的穿模特效；缆绳内部结构拆解动</w:t>
            </w:r>
            <w:r>
              <w:rPr>
                <w:rStyle w:val="1060"/>
                <w:rFonts w:hint="default"/>
                <w:color w:val="auto"/>
                <w:sz w:val="13"/>
                <w:szCs w:val="13"/>
                <w:highlight w:val="none"/>
                <w:lang w:bidi="ar"/>
              </w:rPr>
              <w:t xml:space="preserve">画需逐层展开多层结构，呈现电力脉冲与光纤光流；锚泊车展开动画需表现从运输状态到工作状态的机械运动与绞盘转动；三平台对比动画需通过柱状图动态增长呈现三大跨越参数；雷达图填充动画需实现五大维度从中心向外扩散的动态形状与数值绑定；未来展望动画需展示新旧飞艇轮廓叠加、体积放大3倍、载荷能力提升4倍的数字跳动与流体膨胀效果；应用场景动画需完成污染物粒子流动、风场流线、温室气体采集等粒子系统与力场模拟；航天航空验证动画需呈现卫星过境轨迹、飞艇同步观测及三路数据汇聚比对；篇章转场动画需为每个篇章标头设计专属的出入场效果。</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七、特效制作</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特效制作需覆盖以下类型：数据流特效，用于片头、缆绳、篇章转场及作业保障系统，呈现蓝色或金色粒子流贯穿三屏；全息投影标注特效，用于参数环绕飞艇及</w:t>
            </w:r>
            <w:r>
              <w:rPr>
                <w:rStyle w:val="1060"/>
                <w:rFonts w:hint="eastAsia"/>
                <w:color w:val="auto"/>
                <w:sz w:val="13"/>
                <w:szCs w:val="13"/>
                <w:highlight w:val="none"/>
                <w:lang w:eastAsia="zh-CN" w:bidi="ar"/>
              </w:rPr>
              <w:t xml:space="preserve">技术标准，</w:t>
            </w:r>
            <w:r>
              <w:rPr>
                <w:rStyle w:val="1060"/>
                <w:rFonts w:hint="default"/>
                <w:color w:val="auto"/>
                <w:sz w:val="13"/>
                <w:szCs w:val="13"/>
                <w:highlight w:val="none"/>
                <w:lang w:bidi="ar"/>
              </w:rPr>
              <w:t xml:space="preserve">采用半透明材质、扫光与光晕效果；粒子系统特效，需模</w:t>
            </w:r>
            <w:r>
              <w:rPr>
                <w:rStyle w:val="1060"/>
                <w:rFonts w:hint="default"/>
                <w:color w:val="auto"/>
                <w:sz w:val="13"/>
                <w:szCs w:val="13"/>
                <w:highlight w:val="none"/>
                <w:lang w:bidi="ar"/>
              </w:rPr>
              <w:t xml:space="preserve">拟百万级粒子，涵盖污染物、气体分子、温室气体、氦气分子及风场粒子，并实现气体分子结构的可视化；光效辉光特效，用于飞艇高亮、卫星过境及霞光场景，采用Post-process辉光与镜头光晕；雷达图填充特效，用于五大优势段落，实现动态形状与数值绑定；体积对比特效，用于新旧飞艇体积3倍对比，采用半透明膨胀流体模拟；数据汇聚特效，用于航天航空验证段落的三路数据比对，呈现数据线从三屏汇聚至中心的效果；缆绳张力模拟特效，用于飞艇升空与驻空过程，采用物理动力学模拟；三屏光柱汇聚特效，用于片头滨湖至南大至飞艇的逻辑递进呈现。</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八、渲染调色</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渲染引擎可选择Unreal Engine 5实现实时高效渲染，或采用Octane、Redshift等离线渲染器保证高精度输出。渲染分辨率为7680×2160，适配四折幕宽幅，需支持多机位渲染与边缘拼接。色彩空间采用ACES流程，保障色彩一致性。全局调色以科技蓝与金色点缀的冷色调为主氛围，并按篇章进行差异化调色：片头为</w:t>
            </w:r>
            <w:r>
              <w:rPr>
                <w:rStyle w:val="1060"/>
                <w:rFonts w:hint="eastAsia"/>
                <w:color w:val="auto"/>
                <w:sz w:val="13"/>
                <w:szCs w:val="13"/>
                <w:highlight w:val="none"/>
                <w:lang w:eastAsia="zh-CN" w:bidi="ar"/>
              </w:rPr>
              <w:t xml:space="preserve">恢宏</w:t>
            </w:r>
            <w:r>
              <w:rPr>
                <w:rStyle w:val="1060"/>
                <w:rFonts w:hint="default"/>
                <w:color w:val="auto"/>
                <w:sz w:val="13"/>
                <w:szCs w:val="13"/>
                <w:highlight w:val="none"/>
                <w:lang w:bidi="ar"/>
              </w:rPr>
              <w:t xml:space="preserve">暖金，产品拆解为冷峻银蓝，优势对比为对比红蓝，应用场景为自然真实与科技融合，未来展望为明亮通透，尾篇为温暖霞光。渲染输出格式需同时提供EXR 16bit无损序列及ProRes 4444预览格式。</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九、剪辑合成</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剪辑合成工作包括：按分镜</w:t>
            </w:r>
            <w:r>
              <w:rPr>
                <w:rStyle w:val="1060"/>
                <w:rFonts w:hint="default"/>
                <w:color w:val="auto"/>
                <w:sz w:val="13"/>
                <w:szCs w:val="13"/>
                <w:highlight w:val="none"/>
                <w:lang w:bidi="ar"/>
              </w:rPr>
              <w:t xml:space="preserve">脚本时间线进行粗剪，确保90秒精确控制；精剪阶段需优化镜头衔接与节奏，实现与音乐的帧精确同步；四折幕合成需完成正面、左、右、地面四屏的同步拼接与边缘融合；视效合成需将CG与实拍素材融合，叠加特效及数据可视化内容，采用节点式合成工具如Nuke或After Effects；字幕包装需制作解说词字幕、技术参数标注及篇章标头的动态模板；音效合成需将环境音、机械音、特效音、数据声及粒子运动音效进行多轨道混音；配乐合成需实现全片配乐与画面的同步及音量平衡。最终输出需提供6K成片、各篇章独立版本及30秒预告版等多种格式。</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技术亮点</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本次项目的技术亮点包括：四折幕沉浸式空间规划，实现正面屏核心叙事、左右屏环境扩展与地面屏空间锚点的系统化布局；高精度飞艇资产建模，还原4000立方米飞艇、多层材料材质及任务挂架“三维爪子”造型；丰富的数据可视化动画，涵盖雷达图、对比图表、时间轴及三路数据汇聚；全面的粒子系统应用，模拟PM1至PM10、O</w:t>
            </w:r>
            <w:r>
              <w:rPr>
                <w:rStyle w:val="1048"/>
                <w:rFonts w:hint="default"/>
                <w:color w:val="auto"/>
                <w:sz w:val="13"/>
                <w:szCs w:val="13"/>
                <w:highlight w:val="none"/>
                <w:lang w:bidi="ar"/>
              </w:rPr>
              <w:t xml:space="preserve">₃</w:t>
            </w:r>
            <w:r>
              <w:rPr>
                <w:rStyle w:val="1060"/>
                <w:rFonts w:hint="default"/>
                <w:color w:val="auto"/>
                <w:sz w:val="13"/>
                <w:szCs w:val="13"/>
                <w:highlight w:val="none"/>
                <w:lang w:bidi="ar"/>
              </w:rPr>
              <w:t xml:space="preserve">、SO</w:t>
            </w:r>
            <w:r>
              <w:rPr>
                <w:rStyle w:val="1048"/>
                <w:rFonts w:hint="default"/>
                <w:color w:val="auto"/>
                <w:sz w:val="13"/>
                <w:szCs w:val="13"/>
                <w:highlight w:val="none"/>
                <w:lang w:bidi="ar"/>
              </w:rPr>
              <w:t xml:space="preserve">₂</w:t>
            </w:r>
            <w:r>
              <w:rPr>
                <w:rStyle w:val="1060"/>
                <w:rFonts w:hint="default"/>
                <w:color w:val="auto"/>
                <w:sz w:val="13"/>
                <w:szCs w:val="13"/>
                <w:highlight w:val="none"/>
                <w:lang w:bidi="ar"/>
              </w:rPr>
              <w:t xml:space="preserve">、NO、NO</w:t>
            </w:r>
            <w:r>
              <w:rPr>
                <w:rStyle w:val="1048"/>
                <w:rFonts w:hint="default"/>
                <w:color w:val="auto"/>
                <w:sz w:val="13"/>
                <w:szCs w:val="13"/>
                <w:highlight w:val="none"/>
                <w:lang w:bidi="ar"/>
              </w:rPr>
              <w:t xml:space="preserve">₂</w:t>
            </w:r>
            <w:r>
              <w:rPr>
                <w:rStyle w:val="1060"/>
                <w:rFonts w:hint="default"/>
                <w:color w:val="auto"/>
                <w:sz w:val="13"/>
                <w:szCs w:val="13"/>
                <w:highlight w:val="none"/>
                <w:lang w:bidi="ar"/>
              </w:rPr>
              <w:t xml:space="preserve">、VOCs、OOMs、CO</w:t>
            </w:r>
            <w:r>
              <w:rPr>
                <w:rStyle w:val="1048"/>
                <w:rFonts w:hint="default"/>
                <w:color w:val="auto"/>
                <w:sz w:val="13"/>
                <w:szCs w:val="13"/>
                <w:highlight w:val="none"/>
                <w:lang w:bidi="ar"/>
              </w:rPr>
              <w:t xml:space="preserve">₂</w:t>
            </w:r>
            <w:r>
              <w:rPr>
                <w:rStyle w:val="1060"/>
                <w:rFonts w:hint="default"/>
                <w:color w:val="auto"/>
                <w:sz w:val="13"/>
                <w:szCs w:val="13"/>
                <w:highlight w:val="none"/>
                <w:lang w:bidi="ar"/>
              </w:rPr>
              <w:t xml:space="preserve">、CH</w:t>
            </w:r>
            <w:r>
              <w:rPr>
                <w:rStyle w:val="1048"/>
                <w:rFonts w:hint="default"/>
                <w:color w:val="auto"/>
                <w:sz w:val="13"/>
                <w:szCs w:val="13"/>
                <w:highlight w:val="none"/>
                <w:lang w:bidi="ar"/>
              </w:rPr>
              <w:t xml:space="preserve">₄</w:t>
            </w:r>
            <w:r>
              <w:rPr>
                <w:rStyle w:val="1060"/>
                <w:rFonts w:hint="default"/>
                <w:color w:val="auto"/>
                <w:sz w:val="13"/>
                <w:szCs w:val="13"/>
                <w:highlight w:val="none"/>
                <w:lang w:bidi="ar"/>
              </w:rPr>
              <w:t xml:space="preserve">、N</w:t>
            </w:r>
            <w:r>
              <w:rPr>
                <w:rStyle w:val="1048"/>
                <w:rFonts w:hint="default"/>
                <w:color w:val="auto"/>
                <w:sz w:val="13"/>
                <w:szCs w:val="13"/>
                <w:highlight w:val="none"/>
                <w:lang w:bidi="ar"/>
              </w:rPr>
              <w:t xml:space="preserve">₂</w:t>
            </w:r>
            <w:r>
              <w:rPr>
                <w:rStyle w:val="1060"/>
                <w:rFonts w:hint="default"/>
                <w:color w:val="auto"/>
                <w:sz w:val="13"/>
                <w:szCs w:val="13"/>
                <w:highlight w:val="none"/>
                <w:lang w:bidi="ar"/>
              </w:rPr>
              <w:t xml:space="preserve">O等多种气体；全息投影视觉风格，实现参数环绕飞艇、技术标注弹出及篇章标头特效；完整的航天航空验证流程，呈现发射前测试与入轨后协同的天空地同步采集、交叉比对与结果互校；五大篇章标头定制专属动画；6K超高清输出，支持7680×2160四折幕宽幅；三屏光柱汇聚特效，实现滨湖至南大至飞艇的逻辑递进视觉呈现；未来展望体积对比，通过流体膨胀模拟展示体积放大3倍与载荷提升4倍的震撼效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秒</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048" w:type="dxa"/>
            <w:vAlign w:val="center"/>
            <w:vMerge w:val="restart"/>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查询台  </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产品尺寸：1129mm*1086mm*620mm冷轧钢板3mm，面板钢化玻璃，独立电源，内部构件电镀，防锈、防磁、防静电</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可视角度L/R/U/D178°/178°178°/178°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一体机-内置签名机： 分辨率1920*1080P  WIN系统 内置音箱</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触摸方式：红外真多点触摸(2,4,6，10，32点)</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触摸表面：超薄超白钢化玻璃，透光率95%上</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触摸分辨率：4096*4096</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使用寿命：单次点击触摸寿命超过6000万次</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触摸屏：任意不透光物体,≥5mm</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反应时间：&lt;10ms</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抗光性：≥100000LUx</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防水等级：不防水</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操作系统：WIN7双点,XP支持单点</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驱动：支持OEM定制驱动界面</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内存：  8G</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硬盘：SATA,500G</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声卡：集成RealtekALC8878声道音效芯片</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网卡：板载RealtekRTL8111E 千兆网卡，内置 150m无线 WIF</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光驱：无，可配usB移动DVD光驱</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音响：内置2个8n10W中音喇叭</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接口：4*USB2.02USB3.0L1*HDMNI"WAN1VGAL</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预装系统</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方案：WIN7/XP</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CPU：i5可选</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主板：1037U工控主板注:可选配</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整机净重：40kg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泡雕</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泡沫等比雕琢浮空飞艇2.5m长，等比例复原（增加模型尺寸、工艺材质等说明）</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含人工上楼费 19楼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五、</w:t>
            </w:r>
            <w:r/>
          </w:p>
        </w:tc>
        <w:tc>
          <w:tcPr>
            <w:gridSpan w:val="3"/>
            <w:tcBorders>
              <w:top w:val="single" w:color="000000" w:sz="4" w:space="0"/>
              <w:left w:val="single" w:color="000000" w:sz="4" w:space="0"/>
              <w:bottom w:val="single" w:color="000000" w:sz="4" w:space="0"/>
              <w:right w:val="single" w:color="000000" w:sz="4" w:space="0"/>
            </w:tcBorders>
            <w:tcW w:w="10367" w:type="dxa"/>
            <w:vAlign w:val="center"/>
            <w:textDirection w:val="lrTb"/>
            <w:noWrap/>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电料部分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48" w:type="dxa"/>
            <w:vAlign w:val="center"/>
            <w:vMerge w:val="restart"/>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电料部分</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电线：</w:t>
            </w:r>
            <w:r>
              <w:rPr>
                <w:rStyle w:val="1060"/>
                <w:rFonts w:hint="default"/>
                <w:color w:val="auto"/>
                <w:sz w:val="13"/>
                <w:szCs w:val="13"/>
                <w:highlight w:val="none"/>
                <w:lang w:bidi="ar"/>
              </w:rPr>
              <w:t xml:space="preserve">普通照明、LED 灯带、低压控制回路采用 BV 2.5mm² 阻燃铜芯线；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电线：</w:t>
            </w:r>
            <w:r>
              <w:rPr>
                <w:rStyle w:val="1060"/>
                <w:rFonts w:hint="default"/>
                <w:color w:val="auto"/>
                <w:sz w:val="13"/>
                <w:szCs w:val="13"/>
                <w:highlight w:val="none"/>
                <w:lang w:bidi="ar"/>
              </w:rPr>
              <w:t xml:space="preserve">投影机、电视机、VR 设备、中控主机等插座回路采用 BV 4mm² 阻燃铜芯线；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电线：</w:t>
            </w:r>
            <w:r>
              <w:rPr>
                <w:rStyle w:val="1060"/>
                <w:rFonts w:hint="default"/>
                <w:color w:val="auto"/>
                <w:sz w:val="13"/>
                <w:szCs w:val="13"/>
                <w:highlight w:val="none"/>
                <w:lang w:bidi="ar"/>
              </w:rPr>
              <w:t xml:space="preserve">大功率灯箱、集中供电回路采用 BV 6mm² 及以上阻燃铜芯线；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五孔插座+底盒：</w:t>
            </w:r>
            <w:r>
              <w:rPr>
                <w:rStyle w:val="1060"/>
                <w:rFonts w:hint="default"/>
                <w:color w:val="auto"/>
                <w:sz w:val="13"/>
                <w:szCs w:val="13"/>
                <w:highlight w:val="none"/>
                <w:lang w:bidi="ar"/>
              </w:rPr>
              <w:t xml:space="preserve">采用符合国家标准 GB 2099.1 系列的国标阻燃型插座面板及86型底盒，室内普通设备、照明控制回路配置10A 二三极连体插座；投影仪、电视机、VR 设备、中控系统及大功率用电点位采用16A 专用电源插座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辅料包括：PVC 阻燃穿线管PVC 穿线管</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中型 (M/305)、阻燃：氧指数≥27%，燃烧性能 B1 级（难燃），离火自熄、绝缘：绝缘电阻≥100MΩ・km，耐压 2000V/1min 不击穿、力学：抗压（中型≥750N）、抗冲击（1kg/1m 落锤无破裂）、弯曲 90° 无裂纹</w:t>
            </w:r>
            <w:r>
              <w:rPr>
                <w:rFonts w:hint="eastAsia" w:ascii="宋体" w:hAnsi="宋体" w:cs="宋体"/>
                <w:color w:val="auto"/>
                <w:sz w:val="13"/>
                <w:szCs w:val="13"/>
                <w:highlight w:val="none"/>
                <w:lang w:bidi="ar"/>
              </w:rPr>
              <w:br/>
            </w:r>
            <w:r>
              <w:rPr>
                <w:rFonts w:hint="eastAsia" w:ascii="宋体" w:hAnsi="宋体" w:cs="宋体"/>
                <w:color w:val="auto"/>
                <w:sz w:val="13"/>
                <w:szCs w:val="13"/>
                <w:highlight w:val="none"/>
                <w:lang w:bidi="ar"/>
              </w:rPr>
              <w:t xml:space="preserve">耐热：75℃/1h 无变形、无渗漏PVC 穿线管（PVC-U 电工套管）核心国标</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顶面电源插座：</w:t>
            </w:r>
            <w:r>
              <w:rPr>
                <w:rStyle w:val="1060"/>
                <w:rFonts w:hint="default"/>
                <w:color w:val="auto"/>
                <w:sz w:val="13"/>
                <w:szCs w:val="13"/>
                <w:highlight w:val="none"/>
                <w:lang w:bidi="ar"/>
              </w:rPr>
              <w:t xml:space="preserve">国标阻燃型 86 型暗装底盒 + 配套 10A/16A 面板，底盒为加厚 PVC 阻燃绝缘材质，具备防尘、抗变形性能；电源线采用国标 BV2.5mm²～4mm² 阻燃铜芯线，穿 PVC 阻燃线管沿顶面龙骨或顶板暗敷，线路接头烫锡处理，绝缘包扎严密。安装时底盒与顶面龙骨固定牢固，与吊顶面齐平收口；面板紧贴顶面封板，缝隙均匀美观；线路做冗余预留并绑扎固定，防止设备牵拉脱落；顶面插座侧重防尘、防松动、防拉扯，接线牢固可靠，接地保护有效，满足投影仪、灯箱、灯带等天花设备长期安全用电。</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电箱：</w:t>
            </w:r>
            <w:r>
              <w:rPr>
                <w:rStyle w:val="1060"/>
                <w:rFonts w:hint="default"/>
                <w:color w:val="auto"/>
                <w:sz w:val="13"/>
                <w:szCs w:val="13"/>
                <w:highlight w:val="none"/>
                <w:lang w:bidi="ar"/>
              </w:rPr>
              <w:t xml:space="preserve">配电箱采用国标冷轧钢板成型金属配电箱，箱体板材厚度不小于 1.2mm，表面静电喷塑处理，防腐、防锈、绝缘性能良好；箱内配置国标空气开关、漏电保护器、浪涌保护器、零线排、接地排等元器件，电气元件均符合国家 3C 认证标准。进线采用国标阻燃 BV 铜芯电缆，分支回路分色清晰，配套阻燃绝缘线管、线卡、接线端子、标识标签等辅材齐全。</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配电箱采用壁挂式明装固定于墙体坚实部位，安装高度符合规范要求，箱体垂直方正、固定牢固无松动。箱内布线横平竖直，强弱电分离布置，回路标识清晰准确；接线端子压接牢固，相线、零线、地线接线规范，接地保护可靠连通。所有开关、漏保动作灵敏，线路分路控制清晰，具备过载、短路、漏电多重保护功能。安装完成后进行通电测试。</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三、与顶面 / 地面用电的衔接</w:t>
            </w:r>
            <w:r>
              <w:rPr>
                <w:rStyle w:val="1060"/>
                <w:rFonts w:hint="default"/>
                <w:color w:val="auto"/>
                <w:sz w:val="13"/>
                <w:szCs w:val="13"/>
                <w:highlight w:val="none"/>
                <w:lang w:bidi="ar"/>
              </w:rPr>
              <w:br/>
            </w:r>
            <w:r>
              <w:rPr>
                <w:rStyle w:val="1060"/>
                <w:rFonts w:hint="default"/>
                <w:color w:val="auto"/>
                <w:sz w:val="13"/>
                <w:szCs w:val="13"/>
                <w:highlight w:val="none"/>
                <w:lang w:bidi="ar"/>
              </w:rPr>
              <w:t xml:space="preserve">配电箱至顶面设备回路采用线管沿顶暗敷敷设，进线预留冗余长度；各回路独立控制，便于投影仪、灯箱、VR 设备等后期检修与分段断电，整体系统安全稳定、运维便捷。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48" w:type="dxa"/>
            <w:vAlign w:val="center"/>
            <w:vMerge w:val="restart"/>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灯具</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明装筒灯，射灯（TLED320LE系列轨道射灯及变压器，色温控制在4000k，防眩晕）大角度照束，显色指数≥90pa，流明：1100，功率35w</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轨道</w:t>
            </w:r>
            <w:r>
              <w:rPr>
                <w:rStyle w:val="1060"/>
                <w:rFonts w:hint="default"/>
                <w:color w:val="auto"/>
                <w:sz w:val="13"/>
                <w:szCs w:val="13"/>
                <w:highlight w:val="none"/>
                <w:lang w:bidi="ar"/>
              </w:rPr>
              <w:t xml:space="preserve">：包含直角接头、转角接头</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包塑金属软管：20mm加厚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发光灯带</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暗藏LED见光不见灯：光源及电器采用24V漫反射LE</w:t>
            </w:r>
            <w:r>
              <w:rPr>
                <w:rFonts w:hint="eastAsia" w:ascii="宋体" w:hAnsi="宋体" w:cs="宋体"/>
                <w:color w:val="auto"/>
                <w:sz w:val="13"/>
                <w:szCs w:val="13"/>
                <w:highlight w:val="none"/>
                <w:lang w:bidi="ar"/>
              </w:rPr>
              <w:t xml:space="preserve">D软灯带（2公分宽，适配内嵌需求）、LED驱动电源（功率≥总功率1.2-1.5倍）、国标铜芯线、PVC穿线管、接线端子及热缩管，辅助辅料有铝箔反光纸、中性硅酮耐候胶（严禁用酸性玻璃胶）、自攻螺丝/拉铆钉、木工胶/免钉胶、无尘布+酒精，施工需用雕刻机（配Φ6-8mm铣刀）、吸尘器等工具，灯槽按200*200尺寸施工，路径距边缘≥8-15mm，槽深≤板厚2/3，转角做R≥3mm圆角，槽外壁距边缘≥8mm防漏光炸裂，长度＞1.2m时选用≥5mm厚板材并加装加强筋/背板，施工中做好灯槽清洁，确保发光柔和、结构稳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六、</w:t>
            </w:r>
            <w:r/>
          </w:p>
        </w:tc>
        <w:tc>
          <w:tcPr>
            <w:gridSpan w:val="3"/>
            <w:tcBorders>
              <w:top w:val="single" w:color="000000" w:sz="4" w:space="0"/>
              <w:left w:val="single" w:color="000000" w:sz="4" w:space="0"/>
              <w:bottom w:val="single" w:color="000000" w:sz="4" w:space="0"/>
              <w:right w:val="single" w:color="000000" w:sz="4" w:space="0"/>
            </w:tcBorders>
            <w:tcW w:w="10367"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其他</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48" w:type="dxa"/>
            <w:vAlign w:val="center"/>
            <w:vMerge w:val="restart"/>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消防 </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灭火器箱 、210不锈钢厚度 1mm、顶侧双开门  61*38*20cm  可放5kg灭火器两个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灭火器、2025新国标 90干粉 5kg灭火器  执行标准 GB4351-2023 按国家标准配备</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48" w:type="dxa"/>
            <w:vAlign w:val="center"/>
            <w:vMerge w:val="restart"/>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策划设计费</w:t>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结构设计：</w:t>
            </w:r>
            <w:r>
              <w:rPr>
                <w:rFonts w:hint="eastAsia" w:ascii="宋体" w:hAnsi="宋体" w:cs="宋体"/>
                <w:b/>
                <w:bCs/>
                <w:color w:val="auto"/>
                <w:sz w:val="13"/>
                <w:szCs w:val="13"/>
                <w:highlight w:val="none"/>
                <w:lang w:bidi="ar"/>
              </w:rPr>
              <w:br/>
            </w:r>
            <w:r>
              <w:rPr>
                <w:rFonts w:hint="eastAsia" w:ascii="宋体" w:hAnsi="宋体" w:cs="宋体"/>
                <w:b/>
                <w:bCs/>
                <w:color w:val="auto"/>
                <w:sz w:val="13"/>
                <w:szCs w:val="13"/>
                <w:highlight w:val="none"/>
                <w:lang w:bidi="ar"/>
              </w:rPr>
              <w:t xml:space="preserve">整体布局设计：</w:t>
            </w:r>
            <w:r>
              <w:rPr>
                <w:rStyle w:val="1060"/>
                <w:rFonts w:hint="default"/>
                <w:color w:val="auto"/>
                <w:sz w:val="13"/>
                <w:szCs w:val="13"/>
                <w:highlight w:val="none"/>
                <w:lang w:bidi="ar"/>
              </w:rPr>
              <w:t xml:space="preserve">1. 结合展厅600㎡空间格局、参观动线，确定文化墙位置、尺寸及整体排版逻辑；2. 明确文化墙与展厅其他展区的衔接关系，确保视觉连贯；3. 输出布局平面图（1:100比例），标注关键尺寸、位置坐标及与周边设施的间距。</w:t>
            </w:r>
            <w:r>
              <w:rPr>
                <w:rStyle w:val="1060"/>
                <w:rFonts w:hint="default"/>
                <w:color w:val="auto"/>
                <w:sz w:val="13"/>
                <w:szCs w:val="13"/>
                <w:highlight w:val="none"/>
                <w:lang w:bidi="ar"/>
              </w:rPr>
              <w:br/>
            </w:r>
            <w:r>
              <w:rPr>
                <w:rStyle w:val="1058"/>
                <w:color w:val="auto"/>
                <w:sz w:val="13"/>
                <w:szCs w:val="13"/>
                <w:highlight w:val="none"/>
                <w:lang w:bidi="ar"/>
              </w:rPr>
              <w:t xml:space="preserve">安全防护设计：</w:t>
            </w:r>
            <w:r>
              <w:rPr>
                <w:rStyle w:val="1060"/>
                <w:rFonts w:hint="default"/>
                <w:color w:val="auto"/>
                <w:sz w:val="13"/>
                <w:szCs w:val="13"/>
                <w:highlight w:val="none"/>
                <w:lang w:bidi="ar"/>
              </w:rPr>
              <w:t xml:space="preserve">1. 结合展厅消防要求，确保文化墙设计不遮挡消防设施、疏散通道，符合GB50140-2005、GB55036-2022消防国标；2. 选用防火、环保材质（如阻燃PVC、符合国标要求的烤漆材质），标注材质防火等级；3. 设计边角防护，避免尖锐边角，确保参观安全；4. 明确安装牢固标准，防止脱落、倾倒，输出安全防护说明。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rPr>
                <w:rFonts w:hint="eastAsia" w:ascii="宋体" w:hAnsi="宋体" w:cs="宋体"/>
                <w:b/>
                <w:bCs/>
                <w:color w:val="auto"/>
                <w:sz w:val="13"/>
                <w:szCs w:val="13"/>
                <w:highlight w:val="none"/>
              </w:rPr>
            </w:pPr>
            <w:r>
              <w:rPr>
                <w:rFonts w:hint="eastAsia" w:ascii="宋体" w:hAnsi="宋体" w:cs="宋体"/>
                <w:b/>
                <w:bCs/>
                <w:color w:val="auto"/>
                <w:sz w:val="13"/>
                <w:szCs w:val="13"/>
                <w:highlight w:val="none"/>
              </w:rPr>
            </w:r>
            <w:r/>
          </w:p>
        </w:tc>
        <w:tc>
          <w:tcPr>
            <w:gridSpan w:val="2"/>
            <w:tcBorders>
              <w:top w:val="single" w:color="000000" w:sz="4" w:space="0"/>
              <w:left w:val="single" w:color="000000" w:sz="4" w:space="0"/>
              <w:bottom w:val="single" w:color="000000" w:sz="4" w:space="0"/>
              <w:right w:val="single" w:color="000000" w:sz="4" w:space="0"/>
            </w:tcBorders>
            <w:tcW w:w="9319" w:type="dxa"/>
            <w:vAlign w:val="center"/>
            <w:textDirection w:val="lrTb"/>
            <w:noWrap w:val="false"/>
          </w:tcPr>
          <w:p>
            <w:pPr>
              <w:jc w:val="center"/>
              <w:widowControl/>
              <w:rPr>
                <w:rFonts w:hint="eastAsia" w:ascii="宋体" w:hAnsi="宋体" w:cs="宋体"/>
                <w:b/>
                <w:bCs/>
                <w:color w:val="auto"/>
                <w:sz w:val="13"/>
                <w:szCs w:val="13"/>
                <w:highlight w:val="none"/>
              </w:rPr>
            </w:pPr>
            <w:r>
              <w:rPr>
                <w:rFonts w:hint="eastAsia" w:ascii="宋体" w:hAnsi="宋体" w:cs="宋体"/>
                <w:b/>
                <w:bCs/>
                <w:color w:val="auto"/>
                <w:sz w:val="13"/>
                <w:szCs w:val="13"/>
                <w:highlight w:val="none"/>
                <w:lang w:bidi="ar"/>
              </w:rPr>
              <w:t xml:space="preserve">平面设计：</w:t>
            </w:r>
            <w:r>
              <w:rPr>
                <w:rStyle w:val="1060"/>
                <w:rFonts w:hint="default"/>
                <w:color w:val="auto"/>
                <w:sz w:val="13"/>
                <w:szCs w:val="13"/>
                <w:highlight w:val="none"/>
                <w:lang w:bidi="ar"/>
              </w:rPr>
              <w:t xml:space="preserve">内容排版设计：1. 梳理文化墙核心展示内容（如品牌理念、发展历程、核心成果、文化内涵等），确定内容层级；2. 规划内容排版布局，明确标题、正文、图片、图标等元素的摆放位置及比例；3. 优化内容呈现逻辑，确保参观时阅读流畅、重点突出；4. 输出内容排版样稿，标注内容对应位置及呈现形式。</w:t>
            </w:r>
            <w:r>
              <w:rPr>
                <w:rStyle w:val="1060"/>
                <w:rFonts w:hint="default"/>
                <w:color w:val="auto"/>
                <w:sz w:val="13"/>
                <w:szCs w:val="13"/>
                <w:highlight w:val="none"/>
                <w:lang w:bidi="ar"/>
              </w:rPr>
              <w:br/>
            </w:r>
            <w:r>
              <w:rPr>
                <w:rStyle w:val="1058"/>
                <w:color w:val="auto"/>
                <w:sz w:val="13"/>
                <w:szCs w:val="13"/>
                <w:highlight w:val="none"/>
                <w:lang w:bidi="ar"/>
              </w:rPr>
              <w:t xml:space="preserve">材质选型设计：</w:t>
            </w:r>
            <w:r>
              <w:rPr>
                <w:rStyle w:val="1060"/>
                <w:rFonts w:hint="default"/>
                <w:color w:val="auto"/>
                <w:sz w:val="13"/>
                <w:szCs w:val="13"/>
                <w:highlight w:val="none"/>
                <w:lang w:bidi="ar"/>
              </w:rPr>
              <w:t xml:space="preserve">1. 确定文化墙基材、面层材质（如前期提及的1.2mm 304不锈钢烤漆、PVC板、亚克力、木质饰面板等）；2. 明确材质规格、颜色、质感，结合</w:t>
            </w:r>
            <w:r>
              <w:rPr>
                <w:rStyle w:val="1060"/>
                <w:rFonts w:hint="eastAsia"/>
                <w:color w:val="auto"/>
                <w:sz w:val="13"/>
                <w:szCs w:val="13"/>
                <w:highlight w:val="none"/>
                <w:lang w:eastAsia="zh-CN" w:bidi="ar"/>
              </w:rPr>
              <w:t xml:space="preserve">国家标准</w:t>
            </w:r>
            <w:r>
              <w:rPr>
                <w:rStyle w:val="1060"/>
                <w:rFonts w:hint="default"/>
                <w:color w:val="auto"/>
                <w:sz w:val="13"/>
                <w:szCs w:val="13"/>
                <w:highlight w:val="none"/>
                <w:lang w:bidi="ar"/>
              </w:rPr>
              <w:t xml:space="preserve">（如不锈钢烤漆干膜厚度、附着力等）标注材质参数；3. 设计材质拼接方式，确保拼接处美观、牢固；4. 输出材质样板说明，标注材质名称、规格、</w:t>
            </w:r>
            <w:r>
              <w:rPr>
                <w:rStyle w:val="1060"/>
                <w:rFonts w:hint="eastAsia"/>
                <w:color w:val="auto"/>
                <w:sz w:val="13"/>
                <w:szCs w:val="13"/>
                <w:highlight w:val="none"/>
                <w:lang w:eastAsia="zh-CN" w:bidi="ar"/>
              </w:rPr>
              <w:t xml:space="preserve">国家标准</w:t>
            </w:r>
            <w:r>
              <w:rPr>
                <w:rStyle w:val="1060"/>
                <w:rFonts w:hint="default"/>
                <w:color w:val="auto"/>
                <w:sz w:val="13"/>
                <w:szCs w:val="13"/>
                <w:highlight w:val="none"/>
                <w:lang w:bidi="ar"/>
              </w:rPr>
              <w:t xml:space="preserve">及适用部位。</w:t>
            </w:r>
            <w:r>
              <w:rPr>
                <w:rStyle w:val="1060"/>
                <w:rFonts w:hint="default"/>
                <w:color w:val="auto"/>
                <w:sz w:val="13"/>
                <w:szCs w:val="13"/>
                <w:highlight w:val="none"/>
                <w:lang w:bidi="ar"/>
              </w:rPr>
              <w:br/>
            </w:r>
            <w:r>
              <w:rPr>
                <w:rStyle w:val="1058"/>
                <w:color w:val="auto"/>
                <w:sz w:val="13"/>
                <w:szCs w:val="13"/>
                <w:highlight w:val="none"/>
                <w:lang w:bidi="ar"/>
              </w:rPr>
              <w:t xml:space="preserve">工艺落地设计：</w:t>
            </w:r>
            <w:r>
              <w:rPr>
                <w:rStyle w:val="1060"/>
                <w:rFonts w:hint="default"/>
                <w:color w:val="auto"/>
                <w:sz w:val="13"/>
                <w:szCs w:val="13"/>
                <w:highlight w:val="none"/>
                <w:lang w:bidi="ar"/>
              </w:rPr>
              <w:t xml:space="preserve">1. 明确各部位施工工艺（如不锈钢切割、折弯、焊接、烤漆工艺，文字/图案雕刻、丝印、粘贴工艺等）；2. 标注工艺细节标准（如烤漆温度、固化时间、雕刻精度、拼接缝隙宽度等），贴合国标规范；3. 设计安装工艺，明确固定方式、安装流程及验收标准；4. 输出工艺节点图，标注关键工艺步骤及技术要求。</w:t>
            </w:r>
            <w:r>
              <w:rPr>
                <w:rStyle w:val="1060"/>
                <w:rFonts w:hint="default"/>
                <w:color w:val="auto"/>
                <w:sz w:val="13"/>
                <w:szCs w:val="13"/>
                <w:highlight w:val="none"/>
                <w:lang w:bidi="ar"/>
              </w:rPr>
              <w:br/>
            </w:r>
            <w:r>
              <w:rPr>
                <w:rStyle w:val="1058"/>
                <w:color w:val="auto"/>
                <w:sz w:val="13"/>
                <w:szCs w:val="13"/>
                <w:highlight w:val="none"/>
                <w:lang w:bidi="ar"/>
              </w:rPr>
              <w:t xml:space="preserve">灯光搭配设计：</w:t>
            </w:r>
            <w:r>
              <w:rPr>
                <w:rStyle w:val="1060"/>
                <w:rFonts w:hint="default"/>
                <w:color w:val="auto"/>
                <w:sz w:val="13"/>
                <w:szCs w:val="13"/>
                <w:highlight w:val="none"/>
                <w:lang w:bidi="ar"/>
              </w:rPr>
              <w:t xml:space="preserve">1. 结合文化墙内容及视觉需求，确定灯光类型（如射灯、灯带、背光等）；2. 规划灯光布局，明确灯光位置、角度、亮度及色温，突出展示重点；3. 标注灯光参数（功率、色温、照射范围），确保灯光效果与文化墙风格匹配，避免反光、眩光；4. 输出灯光布局图，标注灯光安装位置及参数。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auto"/>
                <w:sz w:val="13"/>
                <w:szCs w:val="13"/>
                <w:highlight w:val="none"/>
              </w:rPr>
            </w:pPr>
            <w:r>
              <w:rPr>
                <w:rFonts w:hint="eastAsia" w:ascii="宋体" w:hAnsi="宋体" w:cs="宋体"/>
                <w:color w:val="auto"/>
                <w:sz w:val="13"/>
                <w:szCs w:val="13"/>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rPr>
                <w:rFonts w:hint="eastAsia" w:ascii="宋体" w:hAnsi="宋体" w:cs="宋体"/>
                <w:color w:val="auto"/>
                <w:sz w:val="13"/>
                <w:szCs w:val="13"/>
                <w:highlight w:val="none"/>
              </w:rPr>
            </w:pPr>
            <w:r>
              <w:rPr>
                <w:rFonts w:hint="eastAsia" w:ascii="宋体" w:hAnsi="宋体" w:cs="宋体"/>
                <w:color w:val="auto"/>
                <w:sz w:val="13"/>
                <w:szCs w:val="13"/>
                <w:highlight w:val="none"/>
              </w:rPr>
            </w:r>
            <w:r/>
          </w:p>
        </w:tc>
      </w:tr>
    </w:tbl>
    <w:p>
      <w:pPr>
        <w:pStyle w:val="790"/>
        <w:rPr>
          <w:color w:val="auto"/>
          <w:highlight w:val="none"/>
        </w:rPr>
        <w:sectPr>
          <w:footnotePr/>
          <w:endnotePr/>
          <w:type w:val="nextPage"/>
          <w:pgSz w:w="16838" w:h="11905" w:orient="landscape"/>
          <w:pgMar w:top="1304" w:right="1247" w:bottom="1247" w:left="1270" w:header="850" w:footer="992" w:gutter="0"/>
          <w:cols w:num="1" w:sep="0" w:space="0" w:equalWidth="1"/>
          <w:docGrid w:linePitch="360"/>
        </w:sectPr>
      </w:pPr>
      <w:r>
        <w:rPr>
          <w:color w:val="auto"/>
          <w:highlight w:val="none"/>
        </w:rPr>
      </w:r>
      <w:r/>
    </w:p>
    <w:p>
      <w:pPr>
        <w:jc w:val="center"/>
        <w:rPr>
          <w:rFonts w:hint="eastAsia" w:ascii="黑体" w:hAnsi="黑体" w:eastAsia="黑体"/>
          <w:color w:val="auto"/>
          <w:sz w:val="36"/>
          <w:szCs w:val="36"/>
          <w:highlight w:val="none"/>
        </w:rPr>
      </w:pPr>
      <w:r>
        <w:rPr>
          <w:rFonts w:hint="eastAsia" w:ascii="宋体" w:hAnsi="宋体" w:cs="宋体"/>
          <w:b/>
          <w:color w:val="auto"/>
          <w:sz w:val="28"/>
          <w:szCs w:val="28"/>
          <w:highlight w:val="none"/>
        </w:rPr>
        <w:t xml:space="preserve">四、合同书</w:t>
      </w:r>
      <w:r>
        <w:rPr>
          <w:rFonts w:hint="eastAsia" w:ascii="宋体" w:hAnsi="宋体" w:cs="宋体"/>
          <w:b/>
          <w:color w:val="auto"/>
          <w:sz w:val="28"/>
          <w:szCs w:val="28"/>
          <w:highlight w:val="none"/>
        </w:rPr>
        <w:br/>
      </w:r>
      <w:r/>
    </w:p>
    <w:p>
      <w:pPr>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以下为中标后签订本项目合同的通用条款，中标人不得提出实质性的修改。</w:t>
      </w:r>
      <w:r/>
    </w:p>
    <w:p>
      <w:pPr>
        <w:jc w:val="center"/>
        <w:rPr>
          <w:rFonts w:hint="eastAsia" w:ascii="宋体" w:hAnsi="宋体"/>
          <w:b/>
          <w:bCs/>
          <w:color w:val="auto"/>
          <w:sz w:val="30"/>
          <w:highlight w:val="none"/>
        </w:rPr>
      </w:pPr>
      <w:r>
        <w:rPr>
          <w:rFonts w:hint="eastAsia" w:ascii="宋体" w:hAnsi="宋体"/>
          <w:b/>
          <w:color w:val="auto"/>
          <w:sz w:val="30"/>
          <w:highlight w:val="none"/>
        </w:rPr>
        <w:t xml:space="preserve">江苏省政府采购合同（服务）（合同编号）</w:t>
      </w:r>
      <w:r/>
    </w:p>
    <w:p>
      <w:pPr>
        <w:pStyle w:val="1061"/>
        <w:spacing w:line="400" w:lineRule="exact"/>
        <w:rPr>
          <w:rFonts w:hint="eastAsia" w:hAnsi="宋体"/>
          <w:color w:val="auto"/>
          <w:sz w:val="24"/>
          <w:szCs w:val="24"/>
          <w:highlight w:val="none"/>
        </w:rPr>
      </w:pPr>
      <w:r>
        <w:rPr>
          <w:rFonts w:hAnsi="宋体"/>
          <w:color w:val="auto"/>
          <w:sz w:val="24"/>
          <w:szCs w:val="24"/>
          <w:highlight w:val="none"/>
        </w:rPr>
        <w:t xml:space="preserve">项目名称：                                       项目编号：</w:t>
      </w:r>
      <w:r/>
    </w:p>
    <w:p>
      <w:pPr>
        <w:pStyle w:val="1061"/>
        <w:spacing w:line="400" w:lineRule="exact"/>
        <w:rPr>
          <w:rFonts w:hint="eastAsia" w:hAnsi="宋体"/>
          <w:color w:val="auto"/>
          <w:sz w:val="24"/>
          <w:szCs w:val="24"/>
          <w:highlight w:val="none"/>
        </w:rPr>
      </w:pPr>
      <w:r>
        <w:rPr>
          <w:rFonts w:hAnsi="宋体"/>
          <w:color w:val="auto"/>
          <w:sz w:val="24"/>
          <w:szCs w:val="24"/>
          <w:highlight w:val="none"/>
        </w:rPr>
        <w:t xml:space="preserve">甲方：（买方、需方、采购人）_________</w:t>
      </w:r>
      <w:r/>
    </w:p>
    <w:p>
      <w:pPr>
        <w:pStyle w:val="1061"/>
        <w:spacing w:line="400" w:lineRule="exact"/>
        <w:rPr>
          <w:rFonts w:hint="eastAsia" w:hAnsi="宋体"/>
          <w:color w:val="auto"/>
          <w:sz w:val="24"/>
          <w:szCs w:val="24"/>
          <w:highlight w:val="none"/>
        </w:rPr>
      </w:pPr>
      <w:r>
        <w:rPr>
          <w:rFonts w:hAnsi="宋体"/>
          <w:color w:val="auto"/>
          <w:sz w:val="24"/>
          <w:szCs w:val="24"/>
          <w:highlight w:val="none"/>
        </w:rPr>
        <w:t xml:space="preserve">乙方：（卖方、供方、供应商）_________</w:t>
      </w:r>
      <w:r/>
    </w:p>
    <w:p>
      <w:pPr>
        <w:pStyle w:val="1061"/>
        <w:spacing w:line="400" w:lineRule="exact"/>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rPr>
        <w:t xml:space="preserve">无锡市滨湖区公共资源交易中心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360" w:lineRule="auto"/>
        <w:widowControl/>
        <w:tabs>
          <w:tab w:val="left" w:pos="1050"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第一条 合同内容：</w:t>
      </w:r>
      <w:r/>
    </w:p>
    <w:p>
      <w:pPr>
        <w:ind w:firstLine="482"/>
        <w:spacing w:line="360" w:lineRule="auto"/>
        <w:widowControl/>
        <w:tabs>
          <w:tab w:val="left" w:pos="1050"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Cs/>
          <w:color w:val="auto"/>
          <w:sz w:val="24"/>
          <w:szCs w:val="24"/>
          <w:highlight w:val="none"/>
        </w:rPr>
        <w:t xml:space="preserve">服务内容：</w:t>
      </w:r>
      <w:r/>
    </w:p>
    <w:p>
      <w:pPr>
        <w:ind w:firstLine="480"/>
        <w:spacing w:line="360" w:lineRule="auto"/>
        <w:widowControl/>
        <w:tabs>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2.质量要求及验收标准：</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widowControl/>
        <w:tabs>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3.服务期：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widowControl/>
        <w:tabs>
          <w:tab w:val="left" w:pos="1050" w:leader="none"/>
        </w:tabs>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4.服务地点：</w:t>
      </w:r>
      <w:r>
        <w:rPr>
          <w:rFonts w:hint="eastAsia" w:ascii="宋体" w:hAnsi="宋体"/>
          <w:bCs/>
          <w:color w:val="auto"/>
          <w:sz w:val="24"/>
          <w:szCs w:val="24"/>
          <w:highlight w:val="none"/>
          <w:u w:val="single"/>
        </w:rPr>
        <w:t xml:space="preserve">          </w:t>
      </w:r>
      <w:r/>
    </w:p>
    <w:p>
      <w:pPr>
        <w:ind w:firstLine="482"/>
        <w:spacing w:line="360" w:lineRule="auto"/>
        <w:widowControl/>
        <w:tabs>
          <w:tab w:val="left" w:pos="1050"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第二条 价格及支付： </w:t>
      </w:r>
      <w:r/>
    </w:p>
    <w:p>
      <w:pPr>
        <w:ind w:firstLine="480"/>
        <w:spacing w:line="360" w:lineRule="auto"/>
        <w:widowControl/>
        <w:tabs>
          <w:tab w:val="left" w:pos="1050" w:leader="none"/>
        </w:tabs>
        <w:rPr>
          <w:rFonts w:hint="eastAsia" w:ascii="宋体" w:hAnsi="宋体"/>
          <w:color w:val="auto"/>
          <w:highlight w:val="none"/>
        </w:rPr>
      </w:pPr>
      <w:r>
        <w:rPr>
          <w:rFonts w:hint="eastAsia" w:ascii="宋体" w:hAnsi="宋体"/>
          <w:bCs/>
          <w:color w:val="auto"/>
          <w:sz w:val="24"/>
          <w:szCs w:val="24"/>
          <w:highlight w:val="none"/>
        </w:rPr>
        <w:t xml:space="preserve">1.按此次中标价格执行，合同总标的额为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2.合同款支付步骤和办法：</w:t>
      </w:r>
      <w:r>
        <w:rPr>
          <w:rFonts w:hint="eastAsia" w:ascii="宋体" w:hAnsi="宋体"/>
          <w:bCs/>
          <w:color w:val="auto"/>
          <w:sz w:val="24"/>
          <w:szCs w:val="24"/>
          <w:highlight w:val="none"/>
          <w:u w:val="single"/>
        </w:rPr>
        <w:t xml:space="preserve"> 配套货物到场经验收后支付至合同金额50%，布置、安装、调试、验收合格通过付至合同金额90%，审计结束后付至审定价的100%。采购人原则上应当自收到发票后10个工作日内将资金支付到合同约定的供应商账户 </w:t>
      </w:r>
      <w:r>
        <w:rPr>
          <w:rFonts w:hint="eastAsia" w:ascii="宋体" w:hAnsi="宋体"/>
          <w:bCs/>
          <w:color w:val="auto"/>
          <w:sz w:val="24"/>
          <w:szCs w:val="24"/>
          <w:highlight w:val="none"/>
        </w:rPr>
        <w:t xml:space="preserve">。</w:t>
      </w:r>
      <w:r/>
    </w:p>
    <w:p>
      <w:pPr>
        <w:ind w:firstLine="482"/>
        <w:spacing w:line="360" w:lineRule="auto"/>
        <w:widowControl/>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第三条 履约保证金：</w:t>
      </w:r>
      <w:r/>
    </w:p>
    <w:p>
      <w:pPr>
        <w:ind w:firstLine="480"/>
        <w:spacing w:line="360" w:lineRule="auto"/>
        <w:widowControl/>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履约保证金缴纳金额：</w:t>
      </w:r>
      <w:r>
        <w:rPr>
          <w:rFonts w:hint="eastAsia" w:ascii="宋体" w:hAnsi="宋体"/>
          <w:color w:val="auto"/>
          <w:sz w:val="24"/>
          <w:szCs w:val="24"/>
          <w:highlight w:val="none"/>
          <w:u w:val="single"/>
        </w:rPr>
        <w:t xml:space="preserve">本项目不收取履约保证金 </w:t>
      </w:r>
      <w:r>
        <w:rPr>
          <w:rFonts w:hint="eastAsia" w:ascii="宋体" w:hAnsi="宋体"/>
          <w:color w:val="auto"/>
          <w:sz w:val="24"/>
          <w:szCs w:val="24"/>
          <w:highlight w:val="none"/>
        </w:rPr>
        <w:t xml:space="preserve">；</w:t>
      </w:r>
      <w:r/>
    </w:p>
    <w:p>
      <w:pPr>
        <w:ind w:firstLine="482"/>
        <w:spacing w:line="360" w:lineRule="auto"/>
        <w:widowControl/>
        <w:tabs>
          <w:tab w:val="left" w:pos="0" w:leader="none"/>
          <w:tab w:val="left" w:pos="1365"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第四条 知识产权：</w:t>
      </w:r>
      <w:r/>
    </w:p>
    <w:p>
      <w:pPr>
        <w:ind w:firstLine="480"/>
        <w:spacing w:line="360" w:lineRule="auto"/>
        <w:widowControl/>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乙方应保证甲方在使用其服务及其任何部分时不受到第三方关于侵犯专利权、商标权或软件著作权等知识产权的指控。任何第三方如果提出侵权指控，乙方应承担可能发生的一切法律责任和费用。</w:t>
      </w:r>
      <w:r/>
    </w:p>
    <w:p>
      <w:pPr>
        <w:ind w:firstLine="482"/>
        <w:spacing w:line="360" w:lineRule="auto"/>
        <w:widowControl/>
        <w:tabs>
          <w:tab w:val="left" w:pos="735"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第五条 质量与检验：</w:t>
      </w:r>
      <w:r/>
    </w:p>
    <w:p>
      <w:pPr>
        <w:ind w:firstLine="480"/>
        <w:spacing w:line="360" w:lineRule="auto"/>
        <w:widowControl/>
        <w:tabs>
          <w:tab w:val="left" w:pos="525" w:leader="none"/>
          <w:tab w:val="left" w:pos="1050"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1．乙方应严格按照招标文件的有关规定和乙方投标文件提供合格的产品与服务。</w:t>
      </w:r>
      <w:r/>
    </w:p>
    <w:p>
      <w:pPr>
        <w:ind w:firstLine="480"/>
        <w:spacing w:line="360" w:lineRule="auto"/>
        <w:widowControl/>
        <w:tabs>
          <w:tab w:val="left" w:pos="1050"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如果设备或服务达不到采购要求，甲方均可以拒绝接受，乙方应及时更换被拒绝的货物或重新提供服务，且不得影响需方正常工作，费用由乙方承担，如因更换或重作导致供方逾期交付货物的，乙方还应承担逾期交付的违约责任。本规定并不免除乙方在本合同项下的货物质量保证义务或其他义务。</w:t>
      </w:r>
      <w:r/>
    </w:p>
    <w:p>
      <w:pPr>
        <w:ind w:firstLine="480"/>
        <w:spacing w:line="360" w:lineRule="auto"/>
        <w:widowControl/>
        <w:tabs>
          <w:tab w:val="left" w:pos="1050"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3.甲方不得擅自变更招标文件约定的相关内容，如有变更应按《中华人民共和国政府采购法》、财政部《政府采购货物和服务招标投标管理办法》的相关程序执行。</w:t>
      </w:r>
      <w:r/>
    </w:p>
    <w:p>
      <w:pPr>
        <w:ind w:firstLine="480"/>
        <w:spacing w:line="360" w:lineRule="auto"/>
        <w:widowControl/>
        <w:tabs>
          <w:tab w:val="left" w:pos="1050"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质量要求及验收标准：甲方根据国家有关规定、招标文件、乙方的投标文件以及合同约定的内容和验收标准进行验收。验收情况作为支付货款的依据。如有质疑，以相关质量技术检验检测机构的检验结果为准，如产生检验费用，则该费用由乙方承担。</w:t>
      </w:r>
      <w:r/>
    </w:p>
    <w:p>
      <w:pPr>
        <w:ind w:firstLine="482"/>
        <w:spacing w:line="360" w:lineRule="auto"/>
        <w:widowControl/>
        <w:tabs>
          <w:tab w:val="left" w:pos="945" w:leader="none"/>
          <w:tab w:val="left" w:pos="1155"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第六条 安装调试及售后服务：</w:t>
      </w:r>
      <w:r/>
    </w:p>
    <w:p>
      <w:pPr>
        <w:ind w:firstLine="480"/>
        <w:spacing w:line="360" w:lineRule="auto"/>
        <w:widowControl/>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1.乙方负责本项目的安装和调试，并保证其提供的货物符合国家、行业、地方、招标文件要求和乙方投标文件及合同规定的质量、性能和标准，并正确且安全地安装。</w:t>
      </w:r>
      <w:r/>
    </w:p>
    <w:p>
      <w:pPr>
        <w:ind w:firstLine="480"/>
        <w:spacing w:line="360" w:lineRule="auto"/>
        <w:widowControl/>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2.乙方提供的服务、产品全部按照国家有关法律法规规章和“三包”规定以及按招标文件要求和乙方投标文件中的承诺执行。</w:t>
      </w:r>
      <w:r/>
    </w:p>
    <w:p>
      <w:pPr>
        <w:ind w:firstLine="480"/>
        <w:spacing w:line="360" w:lineRule="auto"/>
        <w:widowControl/>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3.甲方应向乙方现场调试的技术人员及维修人员提供方便条件，有关费用由乙方负责。</w:t>
      </w:r>
      <w:r/>
    </w:p>
    <w:p>
      <w:pPr>
        <w:ind w:firstLine="480"/>
        <w:spacing w:line="360" w:lineRule="auto"/>
        <w:widowControl/>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4.甲方如要求乙方提供招标文件及乙方投标文件以外的其他服务，其费用另定。</w:t>
      </w:r>
      <w:r/>
    </w:p>
    <w:p>
      <w:pPr>
        <w:ind w:firstLine="482"/>
        <w:spacing w:line="360" w:lineRule="auto"/>
        <w:widowControl/>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第七条 责任和义务：</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1.甲方的责任与义务</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1.1 按照合同规定拨付项目费用。</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1.2 提供技术要求及规范。</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1.3 审定乙方技术方案及履行合同情况。</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1.4 对乙方承担的项目进行监督和质量验收。</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1.5 维护乙方服务成果，组织验收。</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1.6 协助处理与各权属单位关系及政府有关职能部门的关系，以便于服务工作的顺利进行。</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2.乙方的责任与义务</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2.1 乙方应自己负责实施合同期间其工作人员的食宿、通讯、差旅、交通、水电、资料收集以及用工器具的搬迁等一切费用。</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2.2 乙方须维护甲方的基础资料及成果，不得转让给第三方重复使用。</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2.3乙方投标文件中明确的项目组人员、设备与进场作业人员、设备应该一致，乙方不得随意更换，如发现未经甲方许可随意更换主要技术人员及设备，按乙方违约处理。</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2.4 乙方人员进场，需持有身份证，证书复印件，经与投标文件核对无误，方能上岗工作，人员变动，需法定代表人签字，阐明变动原因，并需经甲方同意。</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2.5乙方应根据甲方的要求，以及规范、规程等进行项目的实施。</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2.6验收费用包含在合同总价之内。</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2.7乙方自行承担合同实施期间其人员的人身安全、仪器设备的使用正常及其一切可能产生的后果。</w:t>
      </w:r>
      <w:r/>
    </w:p>
    <w:p>
      <w:pPr>
        <w:ind w:firstLine="482"/>
        <w:spacing w:line="360" w:lineRule="auto"/>
        <w:widowControl/>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第八条 违约责任：</w:t>
      </w:r>
      <w:r/>
    </w:p>
    <w:p>
      <w:pPr>
        <w:ind w:firstLine="480"/>
        <w:spacing w:line="360" w:lineRule="auto"/>
        <w:widowControl/>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在履行合同的过程中，如果乙方遇到妨碍按时提供服务的情况时，应及时以书面形式将拖延的事实、可能拖延的时间和原因通知甲方。甲方在收到乙方通知后，应尽快对情况进行核实，并有权根据情况确定是否酌情延长期限，或向乙方发出书面通知书，提出解除部分或全部合同。延期应通过签订补充合同的方式由双方认可并履行。</w:t>
      </w:r>
      <w:r/>
    </w:p>
    <w:p>
      <w:pPr>
        <w:ind w:firstLine="480"/>
        <w:spacing w:line="360" w:lineRule="auto"/>
        <w:widowControl/>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乙方如无不可抗力，又未履行密封报价文件、投标文件和合同条款的，一经查实，由乙方赔偿由此给甲方造成的损失，并按照合同总价的30%向甲方支付违约金，因招、投标产生的其他责任及后果按密封报价文件的相关要求及处理方式执行。</w:t>
      </w:r>
      <w:r/>
    </w:p>
    <w:p>
      <w:pPr>
        <w:ind w:firstLine="480"/>
        <w:spacing w:line="360" w:lineRule="auto"/>
        <w:widowControl/>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3.如遭遇不可抗力事件，遭遇不可抗力的一方应尽快以书面形式将不可抗力的情况和原因通知另一方，并积极采取措施防止损失扩大。因不可抗力造成的损失，甲、乙双方按照法律规定处理。</w:t>
      </w:r>
      <w:r/>
    </w:p>
    <w:p>
      <w:pPr>
        <w:ind w:firstLine="480"/>
        <w:spacing w:line="360" w:lineRule="auto"/>
        <w:widowControl/>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4.合同中所述之“不可抗力”系指不可预见、不可避免、不可克服的事件，包括但不限于：战争、洪水、台风、地震及其他</w:t>
      </w:r>
      <w:r>
        <w:rPr>
          <w:rFonts w:hint="eastAsia" w:ascii="宋体" w:hAnsi="宋体"/>
          <w:bCs/>
          <w:color w:val="auto"/>
          <w:sz w:val="24"/>
          <w:szCs w:val="24"/>
          <w:highlight w:val="none"/>
          <w:lang w:eastAsia="zh-CN"/>
        </w:rPr>
        <w:t xml:space="preserve">法律法规</w:t>
      </w:r>
      <w:r>
        <w:rPr>
          <w:rFonts w:hint="eastAsia" w:ascii="宋体" w:hAnsi="宋体"/>
          <w:bCs/>
          <w:color w:val="auto"/>
          <w:sz w:val="24"/>
          <w:szCs w:val="24"/>
          <w:highlight w:val="none"/>
        </w:rPr>
        <w:t xml:space="preserve">规定的事件。</w:t>
      </w:r>
      <w:r/>
    </w:p>
    <w:p>
      <w:pPr>
        <w:ind w:firstLine="480"/>
        <w:spacing w:line="360" w:lineRule="auto"/>
        <w:widowControl/>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5.如果乙方在本合同履行完毕之前破产或无清偿能力，甲方可在任何时候以书面形式通知乙方，提出解除合同。该终止合同将不损害或影响甲方已经采取或将要采取的任何行动或补救措施的权力。</w:t>
      </w:r>
      <w:r/>
    </w:p>
    <w:p>
      <w:pPr>
        <w:ind w:firstLine="482"/>
        <w:jc w:val="left"/>
        <w:spacing w:line="360" w:lineRule="auto"/>
        <w:widowControl/>
        <w:rPr>
          <w:rFonts w:hint="eastAsia" w:ascii="宋体" w:hAnsi="宋体"/>
          <w:color w:val="auto"/>
          <w:sz w:val="24"/>
          <w:szCs w:val="24"/>
          <w:highlight w:val="none"/>
        </w:rPr>
      </w:pPr>
      <w:r>
        <w:rPr>
          <w:rFonts w:hint="eastAsia" w:ascii="宋体" w:hAnsi="宋体"/>
          <w:b/>
          <w:bCs/>
          <w:color w:val="auto"/>
          <w:sz w:val="24"/>
          <w:szCs w:val="24"/>
          <w:highlight w:val="none"/>
        </w:rPr>
        <w:t xml:space="preserve">第九条 </w:t>
      </w:r>
      <w:r>
        <w:rPr>
          <w:rFonts w:hint="eastAsia" w:ascii="宋体" w:hAnsi="宋体"/>
          <w:b/>
          <w:color w:val="auto"/>
          <w:sz w:val="24"/>
          <w:szCs w:val="24"/>
          <w:highlight w:val="none"/>
        </w:rPr>
        <w:t xml:space="preserve">合同的终止：</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1.合同因有效期限届满而终止。</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2.乙方未按合同约定履行，构成根本性违约的，甲方有权终止合同，并追究乙方的违约责任。</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3.涉及国家利益、社会公共利益的情形：</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（1）甲方内部工作安排、计划调整等自身原因；</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（2）中央、省、市、区级政策变动，以及规划、计划调整等外部原因；</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（3）其他甲方原因。</w:t>
      </w:r>
      <w:r/>
    </w:p>
    <w:p>
      <w:pPr>
        <w:ind w:firstLine="480"/>
        <w:spacing w:line="360" w:lineRule="auto"/>
        <w:widowControl/>
        <w:rPr>
          <w:rFonts w:hint="eastAsia" w:ascii="宋体" w:hAnsi="宋体"/>
          <w:color w:val="auto"/>
          <w:highlight w:val="none"/>
        </w:rPr>
      </w:pPr>
      <w:r>
        <w:rPr>
          <w:rFonts w:hint="eastAsia" w:ascii="宋体" w:hAnsi="宋体"/>
          <w:color w:val="auto"/>
          <w:sz w:val="24"/>
          <w:szCs w:val="24"/>
          <w:highlight w:val="none"/>
        </w:rPr>
        <w:t xml:space="preserve">本合同对合同变更、中止或终止合同有其他特殊约定的，按该特殊约定执行。</w:t>
      </w:r>
      <w:r/>
    </w:p>
    <w:p>
      <w:pPr>
        <w:ind w:firstLine="482"/>
        <w:jc w:val="center"/>
        <w:spacing w:line="360" w:lineRule="auto"/>
        <w:widowControl/>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第十条 合同生效及其他：</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1.合同经甲乙双方代表签字并盖章后生效。合同一式伍份，甲乙双方各执贰份，在无锡市滨湖区公共资源交易中心备案壹份。</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政府采购管理部门协调解决。如协商不能解决，双方可</w:t>
      </w:r>
      <w:r>
        <w:rPr>
          <w:rFonts w:hint="eastAsia" w:ascii="宋体" w:hAnsi="宋体"/>
          <w:color w:val="auto"/>
          <w:sz w:val="24"/>
          <w:szCs w:val="24"/>
          <w:highlight w:val="none"/>
        </w:rPr>
        <w:t xml:space="preserve">向当地仲裁委员会申请仲裁</w:t>
      </w:r>
      <w:r>
        <w:rPr>
          <w:rFonts w:hint="eastAsia" w:ascii="宋体" w:hAnsi="宋体"/>
          <w:bCs/>
          <w:color w:val="auto"/>
          <w:sz w:val="24"/>
          <w:szCs w:val="24"/>
          <w:highlight w:val="none"/>
        </w:rPr>
        <w:t xml:space="preserve">，仲裁期间，除仲裁委员会要求停止履行合同或出现一方确实无法继续履行合同的情形外，本合同应继续履行。</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3.合同在执行过程中出现的未尽事宜，双方在不违背本合同和密封报价文件的原则下协商解决，协商结果以书面形式签订补充协议，且补充协议与本合同具有同等效力。</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4.甲乙双方确认：对本合同条款及后果均已知悉，一致确认不存在欺诈、胁迫、乘人之危、重大误解、显失公平等任何可能导致合同无效或被撤销的情形。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eastAsia="等线"/>
          <w:bCs/>
          <w:color w:val="auto"/>
          <w:sz w:val="24"/>
          <w:szCs w:val="24"/>
          <w:highlight w:val="none"/>
        </w:rPr>
      </w:pPr>
      <w:r>
        <w:rPr>
          <w:rFonts w:hint="eastAsia" w:ascii="宋体" w:hAnsi="宋体" w:eastAsia="等线"/>
          <w:bCs/>
          <w:color w:val="auto"/>
          <w:sz w:val="24"/>
          <w:szCs w:val="24"/>
          <w:highlight w:val="none"/>
        </w:rPr>
        <w:t xml:space="preserve"> </w:t>
      </w:r>
      <w:r/>
    </w:p>
    <w:p>
      <w:pPr>
        <w:pStyle w:val="789"/>
        <w:rPr>
          <w:rFonts w:ascii="华文中宋" w:eastAsia="华文中宋"/>
          <w:bCs/>
          <w:color w:val="auto"/>
          <w:szCs w:val="28"/>
          <w:highlight w:val="none"/>
        </w:rPr>
      </w:pPr>
      <w:r>
        <w:rPr>
          <w:rFonts w:hint="eastAsia"/>
          <w:color w:val="auto"/>
          <w:highlight w:val="none"/>
        </w:rPr>
        <w:t xml:space="preserve"> </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甲方（采购人）：（签章）                 乙方（中标人）：（签章）</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法定（授权）代表人：                     法定（授权）代表人：</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地址：                                   地址：</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年    月    日                           年    月    日</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                                         乙方户名：</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                                         乙方开户银行：</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                                         乙方账号：</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rPr>
          <w:color w:val="auto"/>
          <w:highlight w:val="none"/>
        </w:rPr>
      </w:pPr>
      <w:r>
        <w:rPr>
          <w:color w:val="auto"/>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pageBreakBefore/>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五、 </w:t>
      </w:r>
      <w:bookmarkEnd w:id="5"/>
      <w:r>
        <w:rPr>
          <w:rFonts w:hint="eastAsia" w:ascii="宋体" w:hAnsi="宋体" w:cs="宋体"/>
          <w:b/>
          <w:color w:val="auto"/>
          <w:sz w:val="28"/>
          <w:szCs w:val="28"/>
          <w:highlight w:val="none"/>
        </w:rPr>
        <w:t xml:space="preserve">评标方法与评标标准</w:t>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（一）评分项目及总分（总分100分）</w:t>
      </w:r>
      <w:r/>
    </w:p>
    <w:p>
      <w:pPr>
        <w:ind w:firstLine="241"/>
        <w:spacing w:line="360" w:lineRule="auto"/>
        <w:rPr>
          <w:rFonts w:hint="eastAsia" w:ascii="宋体" w:hAnsi="宋体" w:cs="宋体"/>
          <w:b/>
          <w:color w:val="auto"/>
          <w:sz w:val="24"/>
          <w:highlight w:val="none"/>
        </w:rPr>
      </w:pPr>
      <w:r/>
      <w:bookmarkStart w:id="7" w:name="_Hlk165208094"/>
      <w:r>
        <w:rPr>
          <w:rFonts w:hint="eastAsia" w:ascii="宋体" w:hAnsi="宋体" w:cs="宋体"/>
          <w:b/>
          <w:color w:val="auto"/>
          <w:sz w:val="24"/>
          <w:highlight w:val="none"/>
        </w:rPr>
        <w:t xml:space="preserve">1.报价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25</w:t>
      </w:r>
      <w:r>
        <w:rPr>
          <w:rFonts w:hint="eastAsia" w:ascii="宋体" w:hAnsi="宋体" w:cs="宋体"/>
          <w:b/>
          <w:color w:val="auto"/>
          <w:sz w:val="24"/>
          <w:highlight w:val="none"/>
        </w:rPr>
        <w:t xml:space="preserve">分</w:t>
      </w:r>
      <w:r/>
    </w:p>
    <w:p>
      <w:pPr>
        <w:ind w:firstLine="241"/>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2.投标人综合情况</w:t>
      </w:r>
      <w:r>
        <w:rPr>
          <w:rFonts w:hint="eastAsia" w:ascii="宋体" w:hAnsi="宋体" w:cs="宋体"/>
          <w:b/>
          <w:bCs/>
          <w:color w:val="auto"/>
          <w:sz w:val="24"/>
          <w:highlight w:val="none"/>
        </w:rPr>
        <w:t xml:space="preserve">         16分</w:t>
      </w:r>
      <w:r/>
    </w:p>
    <w:p>
      <w:pPr>
        <w:ind w:firstLine="241"/>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3.技术部分               8分</w:t>
      </w:r>
      <w:r/>
    </w:p>
    <w:p>
      <w:pPr>
        <w:ind w:firstLine="24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4.</w:t>
      </w:r>
      <w:r>
        <w:rPr>
          <w:rFonts w:hint="eastAsia" w:ascii="宋体" w:hAnsi="宋体"/>
          <w:b/>
          <w:bCs/>
          <w:color w:val="auto"/>
          <w:sz w:val="24"/>
          <w:highlight w:val="none"/>
        </w:rPr>
        <w:t xml:space="preserve">设计方案               51分</w:t>
      </w:r>
      <w:bookmarkEnd w:id="7"/>
      <w:r/>
      <w:r/>
    </w:p>
    <w:p>
      <w:pPr>
        <w:spacing w:line="360" w:lineRule="auto"/>
        <w:rPr>
          <w:rFonts w:hint="eastAsia" w:ascii="宋体" w:hAnsi="宋体"/>
          <w:b/>
          <w:color w:val="auto"/>
          <w:sz w:val="28"/>
          <w:szCs w:val="28"/>
          <w:highlight w:val="none"/>
        </w:rPr>
      </w:pPr>
      <w:r>
        <w:rPr>
          <w:rFonts w:hint="eastAsia" w:ascii="宋体" w:hAnsi="宋体" w:cs="宋体"/>
          <w:color w:val="auto"/>
          <w:sz w:val="24"/>
          <w:highlight w:val="none"/>
        </w:rPr>
        <w:t xml:space="preserve">（二）各项目评分标准</w:t>
      </w:r>
      <w:r/>
    </w:p>
    <w:p>
      <w:pPr>
        <w:ind w:firstLine="240"/>
        <w:spacing w:line="360" w:lineRule="auto"/>
        <w:rPr>
          <w:rFonts w:hint="eastAsia" w:ascii="宋体" w:hAnsi="宋体"/>
          <w:b/>
          <w:color w:val="auto"/>
          <w:sz w:val="28"/>
          <w:szCs w:val="28"/>
          <w:highlight w:val="none"/>
        </w:rPr>
      </w:pPr>
      <w:r>
        <w:rPr>
          <w:rFonts w:hint="eastAsia" w:ascii="宋体" w:hAnsi="宋体"/>
          <w:b/>
          <w:color w:val="auto"/>
          <w:sz w:val="24"/>
          <w:szCs w:val="24"/>
          <w:highlight w:val="none"/>
        </w:rPr>
        <w:t xml:space="preserve">1.价格（</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分）：</w:t>
      </w:r>
      <w:r/>
    </w:p>
    <w:p>
      <w:pPr>
        <w:ind w:firstLine="480"/>
        <w:spacing w:line="360" w:lineRule="auto"/>
        <w:rPr>
          <w:rFonts w:hint="eastAsia" w:ascii="宋体" w:hAnsi="宋体"/>
          <w:b/>
          <w:color w:val="auto"/>
          <w:sz w:val="28"/>
          <w:szCs w:val="28"/>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hint="eastAsia" w:ascii="宋体" w:hAnsi="宋体"/>
          <w:b/>
          <w:color w:val="auto"/>
          <w:sz w:val="28"/>
          <w:szCs w:val="28"/>
          <w:highlight w:val="none"/>
        </w:rPr>
      </w:pPr>
      <w:r>
        <w:rPr>
          <w:rFonts w:hint="eastAsia" w:ascii="宋体" w:hAnsi="宋体"/>
          <w:bCs/>
          <w:color w:val="auto"/>
          <w:sz w:val="24"/>
          <w:szCs w:val="24"/>
          <w:highlight w:val="none"/>
        </w:rPr>
        <w:t xml:space="preserve">投标报价得分=（评标基准价／投标报价）×价格权值×100。</w:t>
      </w:r>
      <w:r/>
    </w:p>
    <w:p>
      <w:pPr>
        <w:ind w:firstLine="48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（1）价格扣除：</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对小型和微型企业产品的报价给予10%的扣除，用扣除后的价格参与评审，残疾人福利性单位、监狱企业视同小型、微型企业，除按属于小、微型企业产品细目报价表认真填写外，还应提供以下有效证明文件（如未按要求填写和提供有效证明或相关内容表述不清的，不得享受价格扣除）。</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参加投标的中小企业，应当按照《政府采购促进中小企业发展暂行办法》（财库〔2020〕46号）的规定提供《中小企业声明函》格式见附件。（中小企业划型标准详见《关于印发中小企业划型标准规定的通知》工信部联企业〔2011〕300号）。</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注：同一投标供应商，上述三项价格扣除优惠不得重复享受。</w:t>
      </w:r>
      <w:r/>
    </w:p>
    <w:p>
      <w:pPr>
        <w:ind w:firstLine="482"/>
        <w:jc w:val="left"/>
        <w:spacing w:line="500" w:lineRule="exact"/>
        <w:rPr>
          <w:rFonts w:ascii="宋体" w:hAnsi="宋体"/>
          <w:b/>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b/>
          <w:bCs/>
          <w:color w:val="auto"/>
          <w:sz w:val="24"/>
          <w:szCs w:val="24"/>
          <w:highlight w:val="none"/>
        </w:rPr>
        <w:t xml:space="preserve">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2）注意事项</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③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cs="宋体"/>
          <w:bCs/>
          <w:color w:val="auto"/>
          <w:sz w:val="24"/>
          <w:szCs w:val="24"/>
          <w:highlight w:val="none"/>
        </w:rPr>
      </w:pPr>
      <w:r>
        <w:rPr>
          <w:rFonts w:hint="eastAsia" w:ascii="宋体" w:hAnsi="宋体"/>
          <w:bCs/>
          <w:color w:val="auto"/>
          <w:sz w:val="24"/>
          <w:szCs w:val="24"/>
          <w:highlight w:val="none"/>
        </w:rPr>
        <w:t xml:space="preserve">1000000×[1-（10%+20%）]=700000元</w:t>
      </w:r>
      <w:r/>
    </w:p>
    <w:p>
      <w:pPr>
        <w:ind w:firstLine="482"/>
        <w:spacing w:line="360" w:lineRule="auto"/>
        <w:tabs>
          <w:tab w:val="left" w:pos="945" w:leader="none"/>
          <w:tab w:val="left" w:pos="1155" w:leader="none"/>
        </w:tabs>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评审中出现下列情形之一的，评审委员会应当启动异常低价投标（响应）审查程序：</w:t>
      </w:r>
      <w:r/>
    </w:p>
    <w:p>
      <w:pPr>
        <w:pStyle w:val="816"/>
        <w:ind w:firstLine="480"/>
        <w:spacing w:beforeAutospacing="0" w:afterAutospacing="0" w:line="360" w:lineRule="auto"/>
        <w:rPr>
          <w:rFonts w:hint="eastAsia"/>
          <w:color w:val="auto"/>
          <w:highlight w:val="none"/>
        </w:rPr>
      </w:pPr>
      <w:r>
        <w:rPr>
          <w:rFonts w:hint="eastAsia" w:cs="宋体"/>
          <w:color w:val="auto"/>
          <w:szCs w:val="24"/>
          <w:highlight w:val="none"/>
        </w:rPr>
        <w:t xml:space="preserve">1.投标（响应）报价低于全部通过符合性审查供应商投标（响应）报价平均值50%的，即投标（响应）报价〈全部通过符合性审查供应商投标（响应）报价平均值×50%；</w:t>
      </w:r>
      <w:r/>
    </w:p>
    <w:p>
      <w:pPr>
        <w:pStyle w:val="816"/>
        <w:ind w:firstLine="480"/>
        <w:spacing w:beforeAutospacing="0" w:afterAutospacing="0" w:line="360" w:lineRule="auto"/>
        <w:rPr>
          <w:rFonts w:hint="eastAsia"/>
          <w:color w:val="auto"/>
          <w:highlight w:val="none"/>
        </w:rPr>
      </w:pPr>
      <w:r>
        <w:rPr>
          <w:rFonts w:hint="eastAsia" w:cs="宋体"/>
          <w:color w:val="auto"/>
          <w:szCs w:val="24"/>
          <w:highlight w:val="none"/>
        </w:rPr>
        <w:t xml:space="preserve">2.投标（响应）报价低于通过符合性审查的次低报价供应商投标（响应）报价50%的，即投标（响应）报价〈通过符合性审查的次低报价供应商投标（响应）报价×50%；</w:t>
      </w:r>
      <w:r/>
    </w:p>
    <w:p>
      <w:pPr>
        <w:pStyle w:val="816"/>
        <w:ind w:firstLine="480"/>
        <w:spacing w:beforeAutospacing="0" w:afterAutospacing="0" w:line="360" w:lineRule="auto"/>
        <w:rPr>
          <w:rFonts w:hint="eastAsia"/>
          <w:color w:val="auto"/>
          <w:highlight w:val="none"/>
        </w:rPr>
      </w:pPr>
      <w:r>
        <w:rPr>
          <w:rFonts w:hint="eastAsia" w:cs="宋体"/>
          <w:color w:val="auto"/>
          <w:szCs w:val="24"/>
          <w:highlight w:val="none"/>
        </w:rPr>
        <w:t xml:space="preserve">3.投标（响应）报价低于采购项目最高限价45%的，即投标（响应）报价〈采购项目最高限价×45%；</w:t>
      </w:r>
      <w:r/>
    </w:p>
    <w:p>
      <w:pPr>
        <w:pStyle w:val="816"/>
        <w:ind w:firstLine="480"/>
        <w:spacing w:beforeAutospacing="0" w:afterAutospacing="0" w:line="360" w:lineRule="auto"/>
        <w:rPr>
          <w:rFonts w:hint="eastAsia"/>
          <w:color w:val="auto"/>
          <w:highlight w:val="none"/>
        </w:rPr>
      </w:pPr>
      <w:r>
        <w:rPr>
          <w:rFonts w:hint="eastAsia" w:cs="宋体"/>
          <w:color w:val="auto"/>
          <w:szCs w:val="24"/>
          <w:highlight w:val="none"/>
        </w:rPr>
        <w:t xml:space="preserve">4.评审委员会基于专业判断，认为供应商报价过低，有可能影响产品质量或者不能诚信履约的其他情形。</w:t>
      </w:r>
      <w:r/>
    </w:p>
    <w:p>
      <w:pPr>
        <w:pStyle w:val="816"/>
        <w:ind w:firstLine="480"/>
        <w:spacing w:beforeAutospacing="0" w:afterAutospacing="0" w:line="360" w:lineRule="auto"/>
        <w:rPr>
          <w:rFonts w:hint="eastAsia"/>
          <w:color w:val="auto"/>
          <w:highlight w:val="none"/>
        </w:rPr>
      </w:pPr>
      <w:r>
        <w:rPr>
          <w:rFonts w:hint="eastAsia" w:cs="宋体"/>
          <w:color w:val="auto"/>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6"/>
        <w:ind w:firstLine="480"/>
        <w:spacing w:beforeAutospacing="0" w:afterAutospacing="0" w:line="360" w:lineRule="auto"/>
        <w:rPr>
          <w:rFonts w:hint="eastAsia"/>
          <w:color w:val="auto"/>
          <w:highlight w:val="none"/>
        </w:rPr>
      </w:pPr>
      <w:r>
        <w:rPr>
          <w:rFonts w:hint="eastAsia" w:cs="宋体"/>
          <w:color w:val="auto"/>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6"/>
        <w:ind w:firstLine="480"/>
        <w:spacing w:beforeAutospacing="0" w:afterAutospacing="0" w:line="360" w:lineRule="auto"/>
        <w:rPr>
          <w:rFonts w:hint="eastAsia"/>
          <w:color w:val="auto"/>
          <w:highlight w:val="none"/>
        </w:rPr>
      </w:pPr>
      <w:r>
        <w:rPr>
          <w:rFonts w:hint="eastAsia" w:cs="宋体"/>
          <w:color w:val="auto"/>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6"/>
        <w:ind w:firstLine="480"/>
        <w:spacing w:beforeAutospacing="0" w:afterAutospacing="0" w:line="360" w:lineRule="auto"/>
        <w:rPr>
          <w:rFonts w:hint="eastAsia" w:ascii="宋体" w:hAnsi="宋体"/>
          <w:b/>
          <w:color w:val="auto"/>
          <w:sz w:val="28"/>
          <w:szCs w:val="28"/>
          <w:highlight w:val="none"/>
        </w:rPr>
      </w:pPr>
      <w:r>
        <w:rPr>
          <w:rFonts w:hint="eastAsia" w:cs="宋体"/>
          <w:color w:val="auto"/>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241"/>
        <w:spacing w:line="360" w:lineRule="auto"/>
        <w:rPr>
          <w:rFonts w:hint="eastAsia" w:ascii="宋体" w:hAnsi="宋体"/>
          <w:b/>
          <w:color w:val="auto"/>
          <w:sz w:val="28"/>
          <w:szCs w:val="28"/>
          <w:highlight w:val="none"/>
        </w:rPr>
      </w:pPr>
      <w:r>
        <w:rPr>
          <w:rFonts w:hint="eastAsia" w:ascii="宋体" w:hAnsi="宋体"/>
          <w:b/>
          <w:color w:val="auto"/>
          <w:sz w:val="24"/>
          <w:szCs w:val="24"/>
          <w:highlight w:val="none"/>
        </w:rPr>
        <w:t xml:space="preserve">2.投标人综合情况（16分）：</w:t>
      </w:r>
      <w:r/>
    </w:p>
    <w:p>
      <w:pPr>
        <w:ind w:firstLine="241"/>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rPr>
        <w:t xml:space="preserve">2.1业绩（9分）：</w:t>
      </w:r>
      <w:r>
        <w:rPr>
          <w:rFonts w:hint="eastAsia" w:ascii="宋体" w:hAnsi="宋体"/>
          <w:bCs/>
          <w:color w:val="auto"/>
          <w:sz w:val="24"/>
          <w:szCs w:val="24"/>
          <w:highlight w:val="none"/>
        </w:rPr>
        <w:t xml:space="preserve">自</w:t>
      </w:r>
      <w:r>
        <w:rPr>
          <w:rFonts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3</w:t>
      </w:r>
      <w:r>
        <w:rPr>
          <w:rFonts w:ascii="宋体" w:hAnsi="宋体"/>
          <w:bCs/>
          <w:color w:val="auto"/>
          <w:sz w:val="24"/>
          <w:szCs w:val="24"/>
          <w:highlight w:val="none"/>
        </w:rPr>
        <w:t xml:space="preserve">年1月</w:t>
      </w:r>
      <w:r>
        <w:rPr>
          <w:rFonts w:hint="eastAsia" w:ascii="宋体" w:hAnsi="宋体"/>
          <w:bCs/>
          <w:color w:val="auto"/>
          <w:sz w:val="24"/>
          <w:szCs w:val="24"/>
          <w:highlight w:val="none"/>
        </w:rPr>
        <w:t xml:space="preserve">1日（以合同签订时间为准）</w:t>
      </w:r>
      <w:r>
        <w:rPr>
          <w:rFonts w:ascii="宋体" w:hAnsi="宋体"/>
          <w:bCs/>
          <w:color w:val="auto"/>
          <w:sz w:val="24"/>
          <w:szCs w:val="24"/>
          <w:highlight w:val="none"/>
        </w:rPr>
        <w:t xml:space="preserve">以来</w:t>
      </w:r>
      <w:r>
        <w:rPr>
          <w:rFonts w:hint="eastAsia" w:ascii="宋体" w:hAnsi="宋体"/>
          <w:bCs/>
          <w:color w:val="auto"/>
          <w:sz w:val="24"/>
          <w:szCs w:val="24"/>
          <w:highlight w:val="none"/>
        </w:rPr>
        <w:t xml:space="preserve">投标人承担过同类项目业绩</w:t>
      </w:r>
      <w:r>
        <w:rPr>
          <w:rFonts w:ascii="宋体" w:hAnsi="宋体"/>
          <w:bCs/>
          <w:color w:val="auto"/>
          <w:sz w:val="24"/>
          <w:szCs w:val="24"/>
          <w:highlight w:val="none"/>
        </w:rPr>
        <w:t xml:space="preserve">，每提供1</w:t>
      </w:r>
      <w:r>
        <w:rPr>
          <w:rFonts w:hint="eastAsia" w:ascii="宋体" w:hAnsi="宋体"/>
          <w:bCs/>
          <w:color w:val="auto"/>
          <w:sz w:val="24"/>
          <w:szCs w:val="24"/>
          <w:highlight w:val="none"/>
        </w:rPr>
        <w:t xml:space="preserve">个</w:t>
      </w:r>
      <w:r>
        <w:rPr>
          <w:rFonts w:ascii="宋体" w:hAnsi="宋体"/>
          <w:bCs/>
          <w:color w:val="auto"/>
          <w:sz w:val="24"/>
          <w:szCs w:val="24"/>
          <w:highlight w:val="none"/>
        </w:rPr>
        <w:t xml:space="preserve">得3分；本项最高得</w:t>
      </w:r>
      <w:r>
        <w:rPr>
          <w:rFonts w:hint="eastAsia" w:ascii="宋体" w:hAnsi="宋体"/>
          <w:bCs/>
          <w:color w:val="auto"/>
          <w:sz w:val="24"/>
          <w:szCs w:val="24"/>
          <w:highlight w:val="none"/>
        </w:rPr>
        <w:t xml:space="preserve">9</w:t>
      </w:r>
      <w:r>
        <w:rPr>
          <w:rFonts w:ascii="宋体" w:hAnsi="宋体"/>
          <w:bCs/>
          <w:color w:val="auto"/>
          <w:sz w:val="24"/>
          <w:szCs w:val="24"/>
          <w:highlight w:val="none"/>
        </w:rPr>
        <w:t xml:space="preserve">分</w:t>
      </w:r>
      <w:r>
        <w:rPr>
          <w:rFonts w:hint="eastAsia" w:ascii="宋体" w:hAnsi="宋体"/>
          <w:bCs/>
          <w:color w:val="auto"/>
          <w:sz w:val="24"/>
          <w:szCs w:val="24"/>
          <w:highlight w:val="none"/>
        </w:rPr>
        <w:t xml:space="preserve">。</w:t>
      </w:r>
      <w:r/>
    </w:p>
    <w:p>
      <w:pPr>
        <w:spacing w:line="360" w:lineRule="auto"/>
        <w:rPr>
          <w:rFonts w:hint="eastAsia" w:ascii="宋体" w:hAnsi="宋体"/>
          <w:b/>
          <w:color w:val="auto"/>
          <w:sz w:val="28"/>
          <w:szCs w:val="28"/>
          <w:highlight w:val="none"/>
        </w:rPr>
      </w:pPr>
      <w:r>
        <w:rPr>
          <w:rFonts w:hint="eastAsia" w:ascii="宋体" w:hAnsi="宋体"/>
          <w:b/>
          <w:color w:val="auto"/>
          <w:sz w:val="24"/>
          <w:szCs w:val="24"/>
          <w:highlight w:val="none"/>
        </w:rPr>
        <w:t xml:space="preserve">（</w:t>
      </w:r>
      <w:r>
        <w:rPr>
          <w:rFonts w:hint="eastAsia" w:ascii="宋体" w:hAnsi="宋体" w:cs="宋体"/>
          <w:b/>
          <w:color w:val="auto"/>
          <w:sz w:val="24"/>
          <w:highlight w:val="none"/>
        </w:rPr>
        <w:t xml:space="preserve">注：须提供合同关键内容页（含合同主体、标的、金额、签订时间、双方盖章页）原件扫描上传，以及资金支付证明或者相关票据的原件（复印件加盖公章）扫描上传，合同实施主体与投标人名称须一致。</w:t>
      </w:r>
      <w:r>
        <w:rPr>
          <w:rFonts w:hint="eastAsia" w:ascii="宋体" w:hAnsi="宋体"/>
          <w:b/>
          <w:color w:val="auto"/>
          <w:sz w:val="24"/>
          <w:szCs w:val="24"/>
          <w:highlight w:val="none"/>
        </w:rPr>
        <w:t xml:space="preserve">）</w:t>
      </w:r>
      <w:r/>
    </w:p>
    <w:p>
      <w:pPr>
        <w:ind w:firstLine="241"/>
        <w:spacing w:line="360" w:lineRule="auto"/>
        <w:tabs>
          <w:tab w:val="left" w:pos="840" w:leader="none"/>
          <w:tab w:val="left" w:pos="1050" w:leader="none"/>
        </w:tabs>
        <w:rPr>
          <w:rFonts w:hint="eastAsia" w:ascii="宋体" w:hAnsi="宋体"/>
          <w:bCs/>
          <w:color w:val="auto"/>
          <w:sz w:val="24"/>
          <w:szCs w:val="24"/>
          <w:highlight w:val="none"/>
        </w:rPr>
      </w:pPr>
      <w:r>
        <w:rPr>
          <w:rFonts w:hint="eastAsia" w:ascii="宋体" w:hAnsi="宋体" w:cs="宋体"/>
          <w:b/>
          <w:color w:val="auto"/>
          <w:sz w:val="24"/>
          <w:szCs w:val="24"/>
          <w:highlight w:val="none"/>
        </w:rPr>
        <w:t xml:space="preserve">2.2项目人员配置情况（7分）：</w:t>
      </w:r>
      <w:r>
        <w:rPr>
          <w:rFonts w:hint="eastAsia" w:ascii="宋体" w:hAnsi="宋体"/>
          <w:bCs/>
          <w:color w:val="auto"/>
          <w:sz w:val="24"/>
          <w:szCs w:val="24"/>
          <w:highlight w:val="none"/>
        </w:rPr>
        <w:t xml:space="preserve">投标人为本项目配备的人员情况，人员以填列的《项</w:t>
      </w:r>
      <w:bookmarkStart w:id="9" w:name="_GoBack"/>
      <w:r/>
      <w:bookmarkEnd w:id="9"/>
      <w:r>
        <w:rPr>
          <w:rFonts w:hint="eastAsia" w:ascii="宋体" w:hAnsi="宋体"/>
          <w:bCs/>
          <w:color w:val="auto"/>
          <w:sz w:val="24"/>
          <w:szCs w:val="24"/>
          <w:highlight w:val="none"/>
        </w:rPr>
        <w:t xml:space="preserve">目人员配置清单》为准（格式见附件），并按评分标准要求提供相应证明材料及表格要求提供所填人员社保证明，否则不得分。</w:t>
      </w:r>
      <w:r/>
    </w:p>
    <w:p>
      <w:pPr>
        <w:ind w:firstLine="482"/>
        <w:jc w:val="left"/>
        <w:spacing w:line="360" w:lineRule="auto"/>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t xml:space="preserve">1)项目负责人要求（3分）：本项目配备1名项目负责人，具有</w:t>
      </w:r>
      <w:r>
        <w:rPr>
          <w:rFonts w:hint="eastAsia" w:ascii="宋体" w:hAnsi="宋体" w:cs="宋体"/>
          <w:color w:val="auto"/>
          <w:sz w:val="24"/>
          <w:szCs w:val="22"/>
          <w:highlight w:val="none"/>
          <w:lang w:val="en-US" w:eastAsia="zh-CN" w:bidi="ar"/>
        </w:rPr>
        <w:t xml:space="preserve">大专</w:t>
      </w:r>
      <w:r>
        <w:rPr>
          <w:rFonts w:hint="eastAsia" w:ascii="宋体" w:hAnsi="宋体" w:cs="宋体"/>
          <w:color w:val="auto"/>
          <w:sz w:val="24"/>
          <w:szCs w:val="22"/>
          <w:highlight w:val="none"/>
          <w:lang w:bidi="ar"/>
        </w:rPr>
        <w:t xml:space="preserve">及以上学历得</w:t>
      </w:r>
      <w:r>
        <w:rPr>
          <w:rFonts w:hint="eastAsia" w:ascii="宋体" w:hAnsi="宋体" w:cs="宋体"/>
          <w:color w:val="auto"/>
          <w:sz w:val="24"/>
          <w:szCs w:val="22"/>
          <w:highlight w:val="none"/>
          <w:lang w:val="en-US" w:eastAsia="zh-CN" w:bidi="ar"/>
        </w:rPr>
        <w:t xml:space="preserve">1</w:t>
      </w:r>
      <w:r>
        <w:rPr>
          <w:rFonts w:hint="eastAsia" w:ascii="宋体" w:hAnsi="宋体" w:cs="宋体"/>
          <w:color w:val="auto"/>
          <w:sz w:val="24"/>
          <w:szCs w:val="22"/>
          <w:highlight w:val="none"/>
          <w:lang w:bidi="ar"/>
        </w:rPr>
        <w:t xml:space="preserve">分，获得项目管理体系认证的相关证书，得</w:t>
      </w:r>
      <w:r>
        <w:rPr>
          <w:rFonts w:hint="eastAsia" w:ascii="宋体" w:hAnsi="宋体" w:cs="宋体"/>
          <w:color w:val="auto"/>
          <w:sz w:val="24"/>
          <w:szCs w:val="22"/>
          <w:highlight w:val="none"/>
          <w:lang w:val="en-US" w:eastAsia="zh-CN" w:bidi="ar"/>
        </w:rPr>
        <w:t xml:space="preserve">2</w:t>
      </w:r>
      <w:r>
        <w:rPr>
          <w:rFonts w:hint="eastAsia" w:ascii="宋体" w:hAnsi="宋体" w:cs="宋体"/>
          <w:color w:val="auto"/>
          <w:sz w:val="24"/>
          <w:szCs w:val="22"/>
          <w:highlight w:val="none"/>
          <w:lang w:bidi="ar"/>
        </w:rPr>
        <w:t xml:space="preserve">分。</w:t>
      </w:r>
      <w:r/>
    </w:p>
    <w:p>
      <w:pPr>
        <w:ind w:firstLine="482"/>
        <w:jc w:val="left"/>
        <w:spacing w:line="360" w:lineRule="auto"/>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t xml:space="preserve">2)其他服务人员（除项目负责人外）配置要求（4分）：投标供应商拟投入项目的其他项目成员，需要具有</w:t>
      </w:r>
      <w:r>
        <w:rPr>
          <w:rFonts w:hint="eastAsia" w:ascii="宋体" w:hAnsi="宋体" w:cs="宋体"/>
          <w:color w:val="auto"/>
          <w:sz w:val="24"/>
          <w:szCs w:val="22"/>
          <w:highlight w:val="none"/>
          <w:lang w:val="en-US" w:eastAsia="zh-CN" w:bidi="ar"/>
        </w:rPr>
        <w:t xml:space="preserve">大专</w:t>
      </w:r>
      <w:r>
        <w:rPr>
          <w:rFonts w:hint="eastAsia" w:ascii="宋体" w:hAnsi="宋体" w:cs="宋体"/>
          <w:color w:val="auto"/>
          <w:sz w:val="24"/>
          <w:szCs w:val="22"/>
          <w:highlight w:val="none"/>
          <w:lang w:bidi="ar"/>
        </w:rPr>
        <w:t xml:space="preserve">及以上学历，每个得1分，最高得4分。</w:t>
      </w:r>
      <w:r/>
    </w:p>
    <w:p>
      <w:pPr>
        <w:ind w:firstLine="241"/>
        <w:spacing w:line="360" w:lineRule="auto"/>
        <w:tabs>
          <w:tab w:val="left" w:pos="840" w:leader="none"/>
          <w:tab w:val="left" w:pos="105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（注：须提供身份证</w:t>
      </w:r>
      <w:r>
        <w:rPr>
          <w:rFonts w:hint="eastAsia" w:ascii="宋体" w:hAnsi="宋体"/>
          <w:b/>
          <w:bCs/>
          <w:color w:val="auto"/>
          <w:sz w:val="24"/>
          <w:szCs w:val="24"/>
          <w:highlight w:val="none"/>
        </w:rPr>
        <w:t xml:space="preserve">及由投标供应商为其近三个月中任意一个月份（不含投标当月）</w:t>
      </w:r>
      <w:r>
        <w:rPr>
          <w:rFonts w:hint="eastAsia" w:ascii="宋体" w:hAnsi="宋体" w:cs="宋体"/>
          <w:b/>
          <w:bCs/>
          <w:color w:val="auto"/>
          <w:sz w:val="24"/>
          <w:szCs w:val="24"/>
          <w:highlight w:val="none"/>
        </w:rPr>
        <w:t xml:space="preserve">缴纳社保的证明</w:t>
      </w:r>
      <w:r>
        <w:rPr>
          <w:rFonts w:hint="eastAsia" w:ascii="宋体" w:hAnsi="宋体"/>
          <w:b/>
          <w:color w:val="auto"/>
          <w:sz w:val="24"/>
          <w:szCs w:val="24"/>
          <w:highlight w:val="none"/>
        </w:rPr>
        <w:t xml:space="preserve">扫描件、</w:t>
      </w:r>
      <w:r>
        <w:rPr>
          <w:rFonts w:hint="eastAsia" w:ascii="宋体" w:hAnsi="宋体" w:cs="宋体"/>
          <w:b/>
          <w:bCs/>
          <w:color w:val="auto"/>
          <w:sz w:val="24"/>
          <w:szCs w:val="24"/>
          <w:highlight w:val="none"/>
        </w:rPr>
        <w:t xml:space="preserve">相关证书，原件扫描件</w:t>
      </w:r>
      <w:r>
        <w:rPr>
          <w:rFonts w:hint="eastAsia" w:ascii="宋体" w:hAnsi="宋体"/>
          <w:b/>
          <w:color w:val="auto"/>
          <w:sz w:val="24"/>
          <w:szCs w:val="24"/>
          <w:highlight w:val="none"/>
        </w:rPr>
        <w:t xml:space="preserve">加盖公章并上传系统内</w:t>
      </w:r>
      <w:r>
        <w:rPr>
          <w:rFonts w:hint="eastAsia" w:ascii="宋体" w:hAnsi="宋体" w:cs="宋体"/>
          <w:b/>
          <w:bCs/>
          <w:color w:val="auto"/>
          <w:sz w:val="24"/>
          <w:szCs w:val="24"/>
          <w:highlight w:val="none"/>
        </w:rPr>
        <w:t xml:space="preserve">，不提供或提供不全不得分。</w:t>
      </w:r>
      <w:r>
        <w:rPr>
          <w:rFonts w:hint="eastAsia" w:ascii="宋体" w:hAnsi="宋体" w:cs="宋体"/>
          <w:b/>
          <w:color w:val="auto"/>
          <w:sz w:val="24"/>
          <w:highlight w:val="none"/>
        </w:rPr>
        <w:t xml:space="preserve">）</w:t>
      </w:r>
      <w:r/>
    </w:p>
    <w:p>
      <w:pPr>
        <w:ind w:firstLine="240"/>
        <w:spacing w:line="360" w:lineRule="auto"/>
        <w:rPr>
          <w:rFonts w:ascii="Arial" w:hAnsi="Arial" w:cs="Arial"/>
          <w:color w:val="auto"/>
          <w:sz w:val="24"/>
          <w:highlight w:val="none"/>
        </w:rPr>
      </w:pPr>
      <w:r>
        <w:rPr>
          <w:rFonts w:ascii="Arial" w:hAnsi="Arial" w:cs="Arial"/>
          <w:color w:val="auto"/>
          <w:sz w:val="24"/>
          <w:highlight w:val="none"/>
        </w:rPr>
      </w:r>
      <w:r/>
    </w:p>
    <w:p>
      <w:pPr>
        <w:ind w:firstLine="241"/>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3.技术部分（8分）</w:t>
      </w:r>
      <w:r/>
    </w:p>
    <w:p>
      <w:pPr>
        <w:ind w:firstLine="480"/>
        <w:spacing w:line="500" w:lineRule="exact"/>
        <w:rPr>
          <w:rStyle w:val="1057"/>
          <w:rFonts w:hint="default" w:asciiTheme="minorEastAsia" w:hAnsiTheme="minorEastAsia"/>
          <w:color w:val="auto"/>
          <w:highlight w:val="none"/>
        </w:rPr>
      </w:pPr>
      <w:r>
        <w:rPr>
          <w:rFonts w:hint="eastAsia" w:ascii="宋体" w:hAnsi="宋体"/>
          <w:color w:val="auto"/>
          <w:sz w:val="24"/>
          <w:szCs w:val="24"/>
          <w:highlight w:val="none"/>
        </w:rPr>
        <w:t xml:space="preserve">投标人所供应的设备，针对以下设备需按要求提供相关证明材料：</w:t>
      </w:r>
      <w:r/>
    </w:p>
    <w:p>
      <w:pPr>
        <w:ind w:firstLine="482"/>
        <w:jc w:val="left"/>
        <w:spacing w:line="360" w:lineRule="auto"/>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t xml:space="preserve">1）室内乳胶漆：需要符合国标GB 18582-2020《建筑用墙面涂料中有害物质限量》、GB/T 9756-2018《合成树脂乳液内墙涂料》</w:t>
      </w:r>
      <w:r>
        <w:rPr>
          <w:rFonts w:hint="eastAsia" w:ascii="宋体" w:hAnsi="宋体" w:cs="宋体"/>
          <w:color w:val="auto"/>
          <w:sz w:val="24"/>
          <w:szCs w:val="22"/>
          <w:highlight w:val="none"/>
          <w:lang w:eastAsia="zh-CN" w:bidi="ar"/>
        </w:rPr>
        <w:t xml:space="preserve">等</w:t>
      </w:r>
      <w:r>
        <w:rPr>
          <w:rFonts w:hint="eastAsia" w:ascii="宋体" w:hAnsi="宋体" w:cs="宋体"/>
          <w:color w:val="auto"/>
          <w:sz w:val="24"/>
          <w:szCs w:val="22"/>
          <w:highlight w:val="none"/>
          <w:lang w:bidi="ar"/>
        </w:rPr>
        <w:t xml:space="preserve">的相关标准，提供具备 CMA资质的第三方检测机构出具的有效检测报告及产品合格证，检测参数须覆盖采购需求中的相关指标，证明材料提供完备得1分；</w:t>
      </w:r>
      <w:r/>
    </w:p>
    <w:p>
      <w:pPr>
        <w:ind w:firstLine="482"/>
        <w:jc w:val="left"/>
        <w:spacing w:line="360" w:lineRule="auto"/>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t xml:space="preserve">2）室内LED筒灯：需要符合国标GB/T 29294-2012《LED 筒灯性能要求》、GB 30255-2019《室内照明用 LED 产品能效限定值及能效等级》、GB 17625.1《电磁兼容 限值 谐波电流发射限值》、GB 50034-2024《建筑照明设计标准》</w:t>
      </w:r>
      <w:r>
        <w:rPr>
          <w:rFonts w:hint="eastAsia" w:ascii="宋体" w:hAnsi="宋体" w:cs="宋体"/>
          <w:color w:val="auto"/>
          <w:sz w:val="24"/>
          <w:szCs w:val="22"/>
          <w:highlight w:val="none"/>
          <w:lang w:eastAsia="zh-CN" w:bidi="ar"/>
        </w:rPr>
        <w:t xml:space="preserve">等</w:t>
      </w:r>
      <w:r>
        <w:rPr>
          <w:rFonts w:hint="eastAsia" w:ascii="宋体" w:hAnsi="宋体" w:cs="宋体"/>
          <w:color w:val="auto"/>
          <w:sz w:val="24"/>
          <w:szCs w:val="22"/>
          <w:highlight w:val="none"/>
          <w:lang w:bidi="ar"/>
        </w:rPr>
        <w:t xml:space="preserve">的相关标准，提供具备 CMA资质的第三方检测机构出具的有效检测报告及产品合格证，检测参数须覆盖采购需求中的相关指标，证明材料提供完备得1分；</w:t>
      </w:r>
      <w:r/>
    </w:p>
    <w:p>
      <w:pPr>
        <w:ind w:firstLine="482"/>
        <w:jc w:val="left"/>
        <w:spacing w:line="360" w:lineRule="auto"/>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t xml:space="preserve">3）室内阻燃板（难燃胶合板 / 阻燃木质板材）：需要符合国标GB 8624-2012《建筑材料及制品燃烧性能分级》、GB/T 18101-2024《难燃胶合板》、GB 50354-2005《建筑内部装修防火施工及验收规范》等中的相关标准，提供具备 CMA资质的第三方检测机构出具的有效检测报告及产品合格证，检测参数须覆盖采购需求中的相关指标，证明材料提供完备得1分；</w:t>
      </w:r>
      <w:r/>
    </w:p>
    <w:p>
      <w:pPr>
        <w:ind w:firstLine="482"/>
        <w:jc w:val="left"/>
        <w:spacing w:line="360" w:lineRule="auto"/>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t xml:space="preserve">4）铜芯电线电缆：需要符合国标GB/T 5023-2022《额定电压 450/750V 及以下聚氯乙烯绝缘电缆》、GB 31247-2014《电缆及光缆燃烧性能分级》、GB 50303-2015《建筑电气工程施工质量验收规范》</w:t>
      </w:r>
      <w:r>
        <w:rPr>
          <w:rFonts w:hint="eastAsia" w:ascii="宋体" w:hAnsi="宋体" w:cs="宋体"/>
          <w:color w:val="auto"/>
          <w:sz w:val="24"/>
          <w:szCs w:val="22"/>
          <w:highlight w:val="none"/>
          <w:lang w:eastAsia="zh-CN" w:bidi="ar"/>
        </w:rPr>
        <w:t xml:space="preserve">等</w:t>
      </w:r>
      <w:r>
        <w:rPr>
          <w:rFonts w:hint="eastAsia" w:ascii="宋体" w:hAnsi="宋体" w:cs="宋体"/>
          <w:color w:val="auto"/>
          <w:sz w:val="24"/>
          <w:szCs w:val="22"/>
          <w:highlight w:val="none"/>
          <w:lang w:bidi="ar"/>
        </w:rPr>
        <w:t xml:space="preserve">的相关标准，提供具备 CMA资质的第三方检测机构出具的有效检测报告及产品合格证及 3C 认证证书，证明材料提供完备得1分；</w:t>
      </w:r>
      <w:r/>
    </w:p>
    <w:p>
      <w:pPr>
        <w:ind w:firstLine="482"/>
        <w:jc w:val="left"/>
        <w:spacing w:line="360" w:lineRule="auto"/>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t xml:space="preserve">5）室内电视机：需要符合国标GB 24850-2020《平板电视能效限定值及能效等级》、GB/T 17309-2021《电视广播接收机通用规范》、GB/T 9254.1-2021《信息技术设备、多媒体设备和接收机电磁兼容 第 1 部分：发射要求》等中的相关标准，提供具备 CMA资质的第三方检测机构出具的有效检测报告及产品合格证，检测参数须覆盖采购需求中的相关指标，证明材料提供完备得2分；</w:t>
      </w:r>
      <w:r/>
    </w:p>
    <w:p>
      <w:pPr>
        <w:ind w:firstLine="482"/>
        <w:jc w:val="left"/>
        <w:spacing w:line="360" w:lineRule="auto"/>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t xml:space="preserve">6)VR激光投影仪：需要符合国标GB 4943.1-2022《音视频、信息技术和通信技术设备 第 1 部分：安全要求》、GB 7247.1-2024《激光产品的安全 第 1 部分：设备分类、要求》、</w:t>
      </w:r>
      <w:r>
        <w:rPr>
          <w:rFonts w:ascii="宋体" w:hAnsi="宋体" w:cs="宋体"/>
          <w:color w:val="auto"/>
          <w:sz w:val="24"/>
          <w:szCs w:val="22"/>
          <w:highlight w:val="none"/>
          <w:lang w:bidi="ar"/>
        </w:rPr>
        <w:t xml:space="preserve">SJ/T 11346-2015《电子投影机测量方法 》</w:t>
      </w:r>
      <w:r>
        <w:rPr>
          <w:rFonts w:hint="eastAsia" w:ascii="宋体" w:hAnsi="宋体" w:cs="宋体"/>
          <w:color w:val="auto"/>
          <w:sz w:val="24"/>
          <w:szCs w:val="22"/>
          <w:highlight w:val="none"/>
          <w:lang w:bidi="ar"/>
        </w:rPr>
        <w:t xml:space="preserve">等中的相关标准，提供具备 CMA资质的第三方检测机构出具的有效检测报告及产品合格证，检测参数须覆盖采购需求中的相关指标，检测参数须覆盖采购需求中的相关指标，证明材料提供完备得2分；</w:t>
      </w:r>
      <w:r/>
    </w:p>
    <w:p>
      <w:pPr>
        <w:ind w:left="240"/>
        <w:spacing w:line="360" w:lineRule="auto"/>
        <w:tabs>
          <w:tab w:val="left" w:pos="840" w:leader="none"/>
          <w:tab w:val="left" w:pos="105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（注：须提供上述所要求</w:t>
      </w:r>
      <w:r>
        <w:rPr>
          <w:rFonts w:hint="eastAsia" w:ascii="宋体" w:hAnsi="宋体" w:cs="宋体"/>
          <w:b/>
          <w:bCs/>
          <w:color w:val="auto"/>
          <w:sz w:val="24"/>
          <w:highlight w:val="none"/>
        </w:rPr>
        <w:t xml:space="preserve">的相关检测报告、合格证等证明材料，原件扫描件</w:t>
      </w:r>
      <w:r>
        <w:rPr>
          <w:rFonts w:hint="eastAsia" w:ascii="宋体" w:hAnsi="宋体"/>
          <w:b/>
          <w:color w:val="auto"/>
          <w:sz w:val="24"/>
          <w:highlight w:val="none"/>
        </w:rPr>
        <w:t xml:space="preserve">加盖公章并上传系统内</w:t>
      </w:r>
      <w:r>
        <w:rPr>
          <w:rFonts w:hint="eastAsia" w:ascii="宋体" w:hAnsi="宋体" w:cs="宋体"/>
          <w:b/>
          <w:bCs/>
          <w:color w:val="auto"/>
          <w:sz w:val="24"/>
          <w:highlight w:val="none"/>
        </w:rPr>
        <w:t xml:space="preserve">，不提供或提供不全不得分。</w:t>
      </w:r>
      <w:r>
        <w:rPr>
          <w:rFonts w:hint="eastAsia" w:ascii="宋体" w:hAnsi="宋体" w:cs="宋体"/>
          <w:b/>
          <w:color w:val="auto"/>
          <w:sz w:val="24"/>
          <w:highlight w:val="none"/>
        </w:rPr>
        <w:t xml:space="preserve">）</w:t>
      </w:r>
      <w:r/>
    </w:p>
    <w:p>
      <w:pPr>
        <w:ind w:left="1134"/>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ind w:firstLine="241"/>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4.设计方案（51分）：</w:t>
      </w:r>
      <w:r/>
    </w:p>
    <w:p>
      <w:pPr>
        <w:ind w:firstLine="240"/>
        <w:spacing w:line="360" w:lineRule="auto"/>
        <w:rPr>
          <w:rFonts w:hint="eastAsia" w:ascii="宋体" w:hAnsi="宋体"/>
          <w:b/>
          <w:color w:val="auto"/>
          <w:sz w:val="28"/>
          <w:szCs w:val="28"/>
          <w:highlight w:val="none"/>
        </w:rPr>
      </w:pPr>
      <w:r>
        <w:rPr>
          <w:rFonts w:hint="eastAsia" w:ascii="宋体" w:hAnsi="宋体"/>
          <w:bCs/>
          <w:color w:val="auto"/>
          <w:sz w:val="24"/>
          <w:szCs w:val="24"/>
          <w:highlight w:val="none"/>
        </w:rPr>
        <w:t xml:space="preserve">在响应招标文件需求的基础上针对下列各部分进行评价，要求体现科学合理性、条理性、可行性、完善性，以下各部分如未见阐述则不得分：</w:t>
      </w:r>
      <w:r/>
    </w:p>
    <w:p>
      <w:pPr>
        <w:ind w:firstLine="241"/>
        <w:spacing w:line="360" w:lineRule="auto"/>
        <w:rPr>
          <w:rFonts w:hint="eastAsia" w:ascii="宋体" w:hAnsi="宋体"/>
          <w:b/>
          <w:color w:val="auto"/>
          <w:sz w:val="28"/>
          <w:szCs w:val="28"/>
          <w:highlight w:val="none"/>
        </w:rPr>
      </w:pPr>
      <w:r>
        <w:rPr>
          <w:rFonts w:hint="eastAsia" w:ascii="宋体" w:hAnsi="宋体"/>
          <w:b/>
          <w:color w:val="auto"/>
          <w:sz w:val="24"/>
          <w:szCs w:val="24"/>
          <w:highlight w:val="none"/>
        </w:rPr>
        <w:t xml:space="preserve">4.1策划设计方案（16分）：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①总体规划布局（4分）</w:t>
      </w:r>
      <w:r/>
    </w:p>
    <w:p>
      <w:pPr>
        <w:ind w:firstLine="482"/>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总体规划布局合理，设计理念先进</w:t>
      </w:r>
      <w:r>
        <w:rPr>
          <w:rFonts w:hint="eastAsia" w:ascii="宋体" w:hAnsi="宋体" w:cs="宋体"/>
          <w:color w:val="auto"/>
          <w:sz w:val="24"/>
          <w:szCs w:val="22"/>
          <w:highlight w:val="none"/>
          <w:lang w:bidi="ar"/>
        </w:rPr>
        <w:t xml:space="preserve">的，得4分；</w:t>
      </w:r>
      <w:r>
        <w:rPr>
          <w:rFonts w:hint="eastAsia" w:ascii="宋体" w:hAnsi="宋体"/>
          <w:bCs/>
          <w:color w:val="auto"/>
          <w:sz w:val="24"/>
          <w:szCs w:val="24"/>
          <w:highlight w:val="none"/>
        </w:rPr>
        <w:t xml:space="preserve">总体规划布局较合理，设计理念较先进</w:t>
      </w:r>
      <w:r>
        <w:rPr>
          <w:rFonts w:hint="eastAsia" w:ascii="宋体" w:hAnsi="宋体" w:cs="宋体"/>
          <w:color w:val="auto"/>
          <w:sz w:val="24"/>
          <w:szCs w:val="22"/>
          <w:highlight w:val="none"/>
          <w:lang w:bidi="ar"/>
        </w:rPr>
        <w:t xml:space="preserve">的，得2分；</w:t>
      </w:r>
      <w:r>
        <w:rPr>
          <w:rFonts w:hint="eastAsia" w:ascii="宋体" w:hAnsi="宋体"/>
          <w:bCs/>
          <w:color w:val="auto"/>
          <w:sz w:val="24"/>
          <w:szCs w:val="24"/>
          <w:highlight w:val="none"/>
        </w:rPr>
        <w:t xml:space="preserve">总体规划布局不合理，设计理念不先进</w:t>
      </w:r>
      <w:r>
        <w:rPr>
          <w:rFonts w:hint="eastAsia" w:ascii="宋体" w:hAnsi="宋体" w:cs="宋体"/>
          <w:color w:val="auto"/>
          <w:sz w:val="24"/>
          <w:szCs w:val="22"/>
          <w:highlight w:val="none"/>
          <w:lang w:bidi="ar"/>
        </w:rPr>
        <w:t xml:space="preserve">的，得1分；未提供得0分；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②布展主题（4分）</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highlight w:val="none"/>
        </w:rPr>
        <w:t xml:space="preserve">主题鲜明，内涵与价值突出，指导性强的</w:t>
      </w:r>
      <w:r>
        <w:rPr>
          <w:rFonts w:hint="eastAsia" w:ascii="宋体" w:hAnsi="宋体" w:cs="宋体"/>
          <w:color w:val="auto"/>
          <w:sz w:val="24"/>
          <w:szCs w:val="22"/>
          <w:highlight w:val="none"/>
          <w:lang w:bidi="ar"/>
        </w:rPr>
        <w:t xml:space="preserve">，得4分；</w:t>
      </w:r>
      <w:r>
        <w:rPr>
          <w:rFonts w:hint="eastAsia" w:ascii="宋体" w:hAnsi="宋体" w:cs="宋体"/>
          <w:color w:val="auto"/>
          <w:sz w:val="24"/>
          <w:highlight w:val="none"/>
        </w:rPr>
        <w:t xml:space="preserve">主题明确但深度不足，溯源关联性一般，指导性较弱的</w:t>
      </w:r>
      <w:r>
        <w:rPr>
          <w:rFonts w:hint="eastAsia" w:ascii="宋体" w:hAnsi="宋体" w:cs="宋体"/>
          <w:color w:val="auto"/>
          <w:sz w:val="24"/>
          <w:szCs w:val="22"/>
          <w:highlight w:val="none"/>
          <w:lang w:bidi="ar"/>
        </w:rPr>
        <w:t xml:space="preserve">，得2分；</w:t>
      </w:r>
      <w:r>
        <w:rPr>
          <w:rFonts w:hint="eastAsia" w:ascii="宋体" w:hAnsi="宋体" w:cs="宋体"/>
          <w:color w:val="auto"/>
          <w:sz w:val="24"/>
          <w:highlight w:val="none"/>
        </w:rPr>
        <w:t xml:space="preserve">缺失对应内容或主题雷同、来源牵强、主题空洞的</w:t>
      </w:r>
      <w:r>
        <w:rPr>
          <w:rFonts w:hint="eastAsia" w:ascii="宋体" w:hAnsi="宋体" w:cs="宋体"/>
          <w:color w:val="auto"/>
          <w:sz w:val="24"/>
          <w:szCs w:val="22"/>
          <w:highlight w:val="none"/>
          <w:lang w:bidi="ar"/>
        </w:rPr>
        <w:t xml:space="preserve">，得1分；未提供得0分；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③多媒体展示（4分）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展示内容</w:t>
      </w:r>
      <w:r>
        <w:rPr>
          <w:rFonts w:hint="eastAsia" w:ascii="宋体" w:hAnsi="宋体" w:cs="宋体"/>
          <w:color w:val="auto"/>
          <w:sz w:val="24"/>
          <w:szCs w:val="22"/>
          <w:highlight w:val="none"/>
          <w:lang w:bidi="ar"/>
        </w:rPr>
        <w:t xml:space="preserve">清晰、合理、详细、全面的，得4分；</w:t>
      </w:r>
      <w:r>
        <w:rPr>
          <w:rFonts w:hint="eastAsia" w:ascii="宋体" w:hAnsi="宋体"/>
          <w:bCs/>
          <w:color w:val="auto"/>
          <w:sz w:val="24"/>
          <w:szCs w:val="24"/>
          <w:highlight w:val="none"/>
        </w:rPr>
        <w:t xml:space="preserve">展示内容</w:t>
      </w:r>
      <w:r>
        <w:rPr>
          <w:rFonts w:hint="eastAsia" w:ascii="宋体" w:hAnsi="宋体" w:cs="宋体"/>
          <w:color w:val="auto"/>
          <w:sz w:val="24"/>
          <w:szCs w:val="22"/>
          <w:highlight w:val="none"/>
          <w:lang w:bidi="ar"/>
        </w:rPr>
        <w:t xml:space="preserve">较清晰、较合理、较详细、较全面，得2分；</w:t>
      </w:r>
      <w:r>
        <w:rPr>
          <w:rFonts w:hint="eastAsia" w:ascii="宋体" w:hAnsi="宋体"/>
          <w:bCs/>
          <w:color w:val="auto"/>
          <w:sz w:val="24"/>
          <w:szCs w:val="24"/>
          <w:highlight w:val="none"/>
        </w:rPr>
        <w:t xml:space="preserve">展示内容</w:t>
      </w:r>
      <w:r>
        <w:rPr>
          <w:rFonts w:hint="eastAsia" w:ascii="宋体" w:hAnsi="宋体" w:cs="宋体"/>
          <w:color w:val="auto"/>
          <w:sz w:val="24"/>
          <w:szCs w:val="22"/>
          <w:highlight w:val="none"/>
          <w:lang w:bidi="ar"/>
        </w:rPr>
        <w:t xml:space="preserve">不够清晰、不够合理、不够详细、不够全面，得1分；未提供得0分；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④展厅设计（4分）</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szCs w:val="22"/>
          <w:highlight w:val="none"/>
          <w:lang w:bidi="ar"/>
        </w:rPr>
        <w:t xml:space="preserve">设计方案亮点突出、技术先进、可行性强的，得4分；设计方案亮点一般、技术普通、可行性弱的，得2分；设计方案亮点缺失、技术落后、可行性差的，得1分；未提供得0分。</w:t>
      </w:r>
      <w:r/>
    </w:p>
    <w:p>
      <w:pPr>
        <w:spacing w:line="360" w:lineRule="auto"/>
        <w:rPr>
          <w:rFonts w:hint="eastAsia" w:ascii="宋体" w:hAnsi="宋体"/>
          <w:b/>
          <w:color w:val="auto"/>
          <w:sz w:val="28"/>
          <w:szCs w:val="28"/>
          <w:highlight w:val="none"/>
        </w:rPr>
      </w:pPr>
      <w:r>
        <w:rPr>
          <w:rFonts w:hint="eastAsia" w:ascii="宋体" w:hAnsi="宋体"/>
          <w:b/>
          <w:color w:val="auto"/>
          <w:sz w:val="24"/>
          <w:szCs w:val="24"/>
          <w:highlight w:val="none"/>
        </w:rPr>
        <w:t xml:space="preserve">4.2布展服务实施方案（16分）：</w:t>
      </w:r>
      <w:r/>
    </w:p>
    <w:p>
      <w:pPr>
        <w:ind w:firstLine="480"/>
        <w:spacing w:line="360" w:lineRule="auto"/>
        <w:rPr>
          <w:rFonts w:hint="eastAsia" w:ascii="宋体" w:hAnsi="宋体"/>
          <w:b/>
          <w:color w:val="auto"/>
          <w:sz w:val="28"/>
          <w:szCs w:val="28"/>
          <w:highlight w:val="none"/>
        </w:rPr>
      </w:pPr>
      <w:r>
        <w:rPr>
          <w:rFonts w:hint="eastAsia" w:ascii="宋体" w:hAnsi="宋体"/>
          <w:bCs/>
          <w:color w:val="auto"/>
          <w:sz w:val="24"/>
          <w:szCs w:val="24"/>
          <w:highlight w:val="none"/>
        </w:rPr>
        <w:t xml:space="preserve">①总体实施方案（4分）</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szCs w:val="22"/>
          <w:highlight w:val="none"/>
          <w:lang w:bidi="ar"/>
        </w:rPr>
        <w:t xml:space="preserve">方案完整、措施具体、可行性强的，得4分；内容有缺失、措施笼统、可行性一般的，得2分；内容错误、措施空洞、可行性差的，得1分；未提供得0分；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②布展服务进度计划（4分）</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szCs w:val="22"/>
          <w:highlight w:val="none"/>
          <w:lang w:bidi="ar"/>
        </w:rPr>
        <w:t xml:space="preserve">方案清晰、合理、详细、全面的，得4分；方案一般、技术普通、可行性弱的，得2分；方案缺失、技术落后、可行性差的，得1分；未提供得0分；</w:t>
      </w:r>
      <w:r/>
    </w:p>
    <w:p>
      <w:pPr>
        <w:ind w:firstLine="480"/>
        <w:spacing w:line="360" w:lineRule="auto"/>
        <w:rPr>
          <w:rFonts w:hint="eastAsia" w:ascii="宋体" w:hAnsi="宋体"/>
          <w:b/>
          <w:color w:val="auto"/>
          <w:sz w:val="28"/>
          <w:szCs w:val="28"/>
          <w:highlight w:val="none"/>
        </w:rPr>
      </w:pPr>
      <w:r>
        <w:rPr>
          <w:rFonts w:hint="eastAsia" w:ascii="宋体" w:hAnsi="宋体"/>
          <w:bCs/>
          <w:color w:val="auto"/>
          <w:sz w:val="24"/>
          <w:szCs w:val="24"/>
          <w:highlight w:val="none"/>
        </w:rPr>
        <w:t xml:space="preserve">③各阶段的施工及采购的具体实施组织方案（4分）</w:t>
      </w:r>
      <w:r/>
    </w:p>
    <w:p>
      <w:pPr>
        <w:ind w:firstLine="480"/>
        <w:spacing w:line="360" w:lineRule="auto"/>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t xml:space="preserve">方案清晰、合理、详细、全面的，得4分；方案一般、技术普通、可行性弱的，得2分；方案缺失、技术落后、可行性差的，得1分；未提供得0分；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④布展的核心区域（即VR展区和VR视频）的关键技术内容和实现方式（4分）</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szCs w:val="22"/>
          <w:highlight w:val="none"/>
          <w:lang w:bidi="ar"/>
        </w:rPr>
        <w:t xml:space="preserve">内容清晰、合理、详细、全面的，得4分；内容一般、技术普通、可行性弱的，得2分；内容缺失、技术落后、可行性差的，得1分；未提供得0分。</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4.3项目人员配置和岗位分工方案（5分）</w:t>
      </w:r>
      <w:r/>
    </w:p>
    <w:p>
      <w:pPr>
        <w:ind w:firstLine="480"/>
        <w:spacing w:line="360" w:lineRule="auto"/>
        <w:rPr>
          <w:rFonts w:hint="eastAsia" w:ascii="宋体" w:hAnsi="宋体" w:cs="宋体"/>
          <w:color w:val="auto"/>
          <w:sz w:val="24"/>
          <w:szCs w:val="22"/>
          <w:highlight w:val="none"/>
          <w:lang w:bidi="ar"/>
        </w:rPr>
      </w:pPr>
      <w:r>
        <w:rPr>
          <w:rFonts w:hint="eastAsia" w:ascii="宋体" w:hAnsi="宋体"/>
          <w:bCs/>
          <w:color w:val="auto"/>
          <w:sz w:val="24"/>
          <w:szCs w:val="24"/>
          <w:highlight w:val="none"/>
        </w:rPr>
        <w:t xml:space="preserve">人员配置</w:t>
      </w:r>
      <w:r>
        <w:rPr>
          <w:rFonts w:hint="eastAsia" w:ascii="宋体" w:hAnsi="宋体" w:cs="宋体"/>
          <w:color w:val="auto"/>
          <w:sz w:val="24"/>
          <w:szCs w:val="22"/>
          <w:highlight w:val="none"/>
          <w:lang w:bidi="ar"/>
        </w:rPr>
        <w:t xml:space="preserve">合理，岗位职责分工清晰、详细、全面的，得5分；</w:t>
      </w:r>
      <w:r>
        <w:rPr>
          <w:rFonts w:hint="eastAsia" w:ascii="宋体" w:hAnsi="宋体"/>
          <w:bCs/>
          <w:color w:val="auto"/>
          <w:sz w:val="24"/>
          <w:szCs w:val="24"/>
          <w:highlight w:val="none"/>
        </w:rPr>
        <w:t xml:space="preserve">人员配置</w:t>
      </w:r>
      <w:r>
        <w:rPr>
          <w:rFonts w:hint="eastAsia" w:ascii="宋体" w:hAnsi="宋体" w:cs="宋体"/>
          <w:color w:val="auto"/>
          <w:sz w:val="24"/>
          <w:szCs w:val="22"/>
          <w:highlight w:val="none"/>
          <w:lang w:bidi="ar"/>
        </w:rPr>
        <w:t xml:space="preserve">较合理，岗位职责较清晰、详细、全面的，得3分；</w:t>
      </w:r>
      <w:r>
        <w:rPr>
          <w:rFonts w:hint="eastAsia" w:ascii="宋体" w:hAnsi="宋体"/>
          <w:bCs/>
          <w:color w:val="auto"/>
          <w:sz w:val="24"/>
          <w:szCs w:val="24"/>
          <w:highlight w:val="none"/>
        </w:rPr>
        <w:t xml:space="preserve">人员配置</w:t>
      </w:r>
      <w:r>
        <w:rPr>
          <w:rFonts w:hint="eastAsia" w:ascii="宋体" w:hAnsi="宋体" w:cs="宋体"/>
          <w:color w:val="auto"/>
          <w:sz w:val="24"/>
          <w:szCs w:val="22"/>
          <w:highlight w:val="none"/>
          <w:lang w:bidi="ar"/>
        </w:rPr>
        <w:t xml:space="preserve">不合理，岗位职责不清晰、不详细、不全面的，得1分；未提供得0分；</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4.4安全及环境保护措施（4分）：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内容</w:t>
      </w:r>
      <w:r>
        <w:rPr>
          <w:rFonts w:hint="eastAsia" w:ascii="宋体" w:hAnsi="宋体"/>
          <w:bCs/>
          <w:color w:val="auto"/>
          <w:sz w:val="24"/>
          <w:szCs w:val="24"/>
          <w:highlight w:val="none"/>
          <w:lang w:eastAsia="zh-CN"/>
        </w:rPr>
        <w:t xml:space="preserve">翔实</w:t>
      </w:r>
      <w:r>
        <w:rPr>
          <w:rFonts w:hint="eastAsia" w:ascii="宋体" w:hAnsi="宋体"/>
          <w:bCs/>
          <w:color w:val="auto"/>
          <w:sz w:val="24"/>
          <w:szCs w:val="24"/>
          <w:highlight w:val="none"/>
        </w:rPr>
        <w:t xml:space="preserve">、需求贴合度高且条理清晰的该条得4分；内容较为简单、可行、细节</w:t>
      </w:r>
      <w:r>
        <w:rPr>
          <w:rFonts w:hint="eastAsia" w:ascii="宋体" w:hAnsi="宋体"/>
          <w:bCs/>
          <w:color w:val="auto"/>
          <w:sz w:val="24"/>
          <w:szCs w:val="24"/>
          <w:highlight w:val="none"/>
          <w:lang w:eastAsia="zh-CN"/>
        </w:rPr>
        <w:t xml:space="preserve">有待</w:t>
      </w:r>
      <w:r>
        <w:rPr>
          <w:rFonts w:hint="eastAsia" w:ascii="宋体" w:hAnsi="宋体"/>
          <w:bCs/>
          <w:color w:val="auto"/>
          <w:sz w:val="24"/>
          <w:szCs w:val="24"/>
          <w:highlight w:val="none"/>
        </w:rPr>
        <w:t xml:space="preserve">完善的该条得2分；内容粗略、无针对性、基本满足采购需求的该条得1分；</w:t>
      </w:r>
      <w:r>
        <w:rPr>
          <w:rFonts w:hint="eastAsia" w:ascii="宋体" w:hAnsi="宋体" w:cs="宋体"/>
          <w:color w:val="auto"/>
          <w:sz w:val="24"/>
          <w:szCs w:val="22"/>
          <w:highlight w:val="none"/>
          <w:lang w:bidi="ar"/>
        </w:rPr>
        <w:t xml:space="preserve">未提供得0分；</w:t>
      </w:r>
      <w:r/>
    </w:p>
    <w:p>
      <w:pPr>
        <w:spacing w:line="360" w:lineRule="auto"/>
        <w:rPr>
          <w:rFonts w:hint="eastAsia" w:ascii="宋体" w:hAnsi="宋体"/>
          <w:b/>
          <w:color w:val="auto"/>
          <w:sz w:val="28"/>
          <w:szCs w:val="28"/>
          <w:highlight w:val="none"/>
        </w:rPr>
      </w:pPr>
      <w:r>
        <w:rPr>
          <w:rFonts w:hint="eastAsia" w:ascii="宋体" w:hAnsi="宋体"/>
          <w:b/>
          <w:color w:val="auto"/>
          <w:sz w:val="24"/>
          <w:szCs w:val="24"/>
          <w:highlight w:val="none"/>
        </w:rPr>
        <w:t xml:space="preserve">4.5后续服务方案（10分）：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①应急方案和质量保障措施（6分）</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highlight w:val="none"/>
        </w:rPr>
        <w:t xml:space="preserve">措施内容</w:t>
      </w:r>
      <w:r>
        <w:rPr>
          <w:rFonts w:hint="eastAsia" w:ascii="宋体" w:hAnsi="宋体" w:cs="宋体"/>
          <w:color w:val="auto"/>
          <w:sz w:val="24"/>
          <w:highlight w:val="none"/>
          <w:lang w:eastAsia="zh-CN"/>
        </w:rPr>
        <w:t xml:space="preserve">翔实</w:t>
      </w:r>
      <w:r>
        <w:rPr>
          <w:rFonts w:hint="eastAsia" w:ascii="宋体" w:hAnsi="宋体" w:cs="宋体"/>
          <w:color w:val="auto"/>
          <w:sz w:val="24"/>
          <w:highlight w:val="none"/>
        </w:rPr>
        <w:t xml:space="preserve">、需求贴合度高且条理清晰的</w:t>
      </w:r>
      <w:r>
        <w:rPr>
          <w:rFonts w:hint="eastAsia" w:ascii="宋体" w:hAnsi="宋体" w:cs="宋体"/>
          <w:color w:val="auto"/>
          <w:sz w:val="24"/>
          <w:szCs w:val="22"/>
          <w:highlight w:val="none"/>
          <w:lang w:bidi="ar"/>
        </w:rPr>
        <w:t xml:space="preserve">，得6分；措施</w:t>
      </w:r>
      <w:r>
        <w:rPr>
          <w:rFonts w:hint="eastAsia" w:ascii="宋体" w:hAnsi="宋体" w:cs="宋体"/>
          <w:color w:val="auto"/>
          <w:sz w:val="24"/>
          <w:highlight w:val="none"/>
        </w:rPr>
        <w:t xml:space="preserve">内容较为简单、可行、细</w:t>
      </w:r>
      <w:r>
        <w:rPr>
          <w:rFonts w:hint="eastAsia" w:ascii="宋体" w:hAnsi="宋体" w:cs="宋体"/>
          <w:color w:val="auto"/>
          <w:sz w:val="24"/>
          <w:highlight w:val="none"/>
          <w:lang w:eastAsia="zh-CN"/>
        </w:rPr>
        <w:t xml:space="preserve">节有待</w:t>
      </w:r>
      <w:r>
        <w:rPr>
          <w:rFonts w:hint="eastAsia" w:ascii="宋体" w:hAnsi="宋体" w:cs="宋体"/>
          <w:color w:val="auto"/>
          <w:sz w:val="24"/>
          <w:highlight w:val="none"/>
        </w:rPr>
        <w:t xml:space="preserve">完善的</w:t>
      </w:r>
      <w:r>
        <w:rPr>
          <w:rFonts w:hint="eastAsia" w:ascii="宋体" w:hAnsi="宋体" w:cs="宋体"/>
          <w:color w:val="auto"/>
          <w:sz w:val="24"/>
          <w:szCs w:val="22"/>
          <w:highlight w:val="none"/>
          <w:lang w:bidi="ar"/>
        </w:rPr>
        <w:t xml:space="preserve">，得3分；措施</w:t>
      </w:r>
      <w:r>
        <w:rPr>
          <w:rFonts w:hint="eastAsia" w:ascii="宋体" w:hAnsi="宋体" w:cs="宋体"/>
          <w:color w:val="auto"/>
          <w:sz w:val="24"/>
          <w:highlight w:val="none"/>
        </w:rPr>
        <w:t xml:space="preserve">内容粗略、无针对性、基本满足采购需求的</w:t>
      </w:r>
      <w:r>
        <w:rPr>
          <w:rFonts w:hint="eastAsia" w:ascii="宋体" w:hAnsi="宋体" w:cs="宋体"/>
          <w:color w:val="auto"/>
          <w:sz w:val="24"/>
          <w:szCs w:val="22"/>
          <w:highlight w:val="none"/>
          <w:lang w:bidi="ar"/>
        </w:rPr>
        <w:t xml:space="preserve">，得1分；未提供得0分；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②售后服务承诺（4分）</w:t>
      </w:r>
      <w:r/>
    </w:p>
    <w:p>
      <w:pPr>
        <w:ind w:firstLine="480"/>
        <w:spacing w:line="360" w:lineRule="auto"/>
        <w:rPr>
          <w:rFonts w:hint="eastAsia" w:ascii="宋体" w:hAnsi="宋体" w:cs="宋体"/>
          <w:color w:val="auto"/>
          <w:sz w:val="24"/>
          <w:szCs w:val="22"/>
          <w:highlight w:val="none"/>
          <w:lang w:bidi="ar"/>
        </w:rPr>
      </w:pPr>
      <w:r>
        <w:rPr>
          <w:rFonts w:hint="eastAsia" w:ascii="宋体" w:hAnsi="宋体" w:cs="宋体"/>
          <w:color w:val="auto"/>
          <w:sz w:val="24"/>
          <w:highlight w:val="none"/>
        </w:rPr>
        <w:t xml:space="preserve">售后服务内容</w:t>
      </w:r>
      <w:r>
        <w:rPr>
          <w:rFonts w:hint="eastAsia" w:ascii="宋体" w:hAnsi="宋体" w:cs="宋体"/>
          <w:color w:val="auto"/>
          <w:sz w:val="24"/>
          <w:highlight w:val="none"/>
          <w:lang w:eastAsia="zh-CN"/>
        </w:rPr>
        <w:t xml:space="preserve">翔实</w:t>
      </w:r>
      <w:r>
        <w:rPr>
          <w:rFonts w:hint="eastAsia" w:ascii="宋体" w:hAnsi="宋体" w:cs="宋体"/>
          <w:color w:val="auto"/>
          <w:sz w:val="24"/>
          <w:highlight w:val="none"/>
        </w:rPr>
        <w:t xml:space="preserve">、需求贴合度高且条理清晰的</w:t>
      </w:r>
      <w:r>
        <w:rPr>
          <w:rFonts w:hint="eastAsia" w:ascii="宋体" w:hAnsi="宋体" w:cs="宋体"/>
          <w:color w:val="auto"/>
          <w:sz w:val="24"/>
          <w:szCs w:val="22"/>
          <w:highlight w:val="none"/>
          <w:lang w:bidi="ar"/>
        </w:rPr>
        <w:t xml:space="preserve">，得4分；</w:t>
      </w:r>
      <w:r>
        <w:rPr>
          <w:rFonts w:hint="eastAsia" w:ascii="宋体" w:hAnsi="宋体" w:cs="宋体"/>
          <w:color w:val="auto"/>
          <w:sz w:val="24"/>
          <w:highlight w:val="none"/>
        </w:rPr>
        <w:t xml:space="preserve">售后服务内容较为简单、可行、细节</w:t>
      </w:r>
      <w:r>
        <w:rPr>
          <w:rFonts w:hint="eastAsia" w:ascii="宋体" w:hAnsi="宋体" w:cs="宋体"/>
          <w:color w:val="auto"/>
          <w:sz w:val="24"/>
          <w:highlight w:val="none"/>
          <w:lang w:eastAsia="zh-CN"/>
        </w:rPr>
        <w:t xml:space="preserve">有待</w:t>
      </w:r>
      <w:r>
        <w:rPr>
          <w:rFonts w:hint="eastAsia" w:ascii="宋体" w:hAnsi="宋体" w:cs="宋体"/>
          <w:color w:val="auto"/>
          <w:sz w:val="24"/>
          <w:highlight w:val="none"/>
        </w:rPr>
        <w:t xml:space="preserve">完善的</w:t>
      </w:r>
      <w:r>
        <w:rPr>
          <w:rFonts w:hint="eastAsia" w:ascii="宋体" w:hAnsi="宋体" w:cs="宋体"/>
          <w:color w:val="auto"/>
          <w:sz w:val="24"/>
          <w:szCs w:val="22"/>
          <w:highlight w:val="none"/>
          <w:lang w:bidi="ar"/>
        </w:rPr>
        <w:t xml:space="preserve">，得2分；</w:t>
      </w:r>
      <w:r>
        <w:rPr>
          <w:rFonts w:hint="eastAsia" w:ascii="宋体" w:hAnsi="宋体" w:cs="宋体"/>
          <w:color w:val="auto"/>
          <w:sz w:val="24"/>
          <w:highlight w:val="none"/>
        </w:rPr>
        <w:t xml:space="preserve">售后服务内容粗略、无针对性、基本满足采购需求的</w:t>
      </w:r>
      <w:r>
        <w:rPr>
          <w:rFonts w:hint="eastAsia" w:ascii="宋体" w:hAnsi="宋体" w:cs="宋体"/>
          <w:color w:val="auto"/>
          <w:sz w:val="24"/>
          <w:szCs w:val="22"/>
          <w:highlight w:val="none"/>
          <w:lang w:bidi="ar"/>
        </w:rPr>
        <w:t xml:space="preserve">，得1分；未提供得0分；</w:t>
      </w:r>
      <w:r/>
    </w:p>
    <w:p>
      <w:pPr>
        <w:rPr>
          <w:rFonts w:ascii="黑体" w:hAnsi="黑体" w:eastAsia="黑体" w:cs="黑体"/>
          <w:color w:val="000000"/>
          <w:sz w:val="36"/>
          <w:highlight w:val="none"/>
        </w:rPr>
      </w:pPr>
      <w:r>
        <w:rPr>
          <w:rFonts w:ascii="黑体" w:hAnsi="黑体" w:eastAsia="黑体" w:cs="黑体"/>
          <w:color w:val="000000"/>
          <w:sz w:val="36"/>
          <w:highlight w:val="none"/>
        </w:rPr>
        <w:br w:type="page" w:clear="all"/>
      </w:r>
      <w:r/>
    </w:p>
    <w:p>
      <w:pPr>
        <w:jc w:val="center"/>
        <w:spacing w:line="68" w:lineRule="atLeast"/>
        <w:rPr>
          <w:sz w:val="18"/>
          <w:szCs w:val="16"/>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szCs w:val="16"/>
          <w:highlight w:val="none"/>
        </w:rPr>
        <w:t xml:space="preserve">第六章投标文件内容与格式</w:t>
      </w:r>
      <w:r/>
    </w:p>
    <w:p>
      <w:pPr>
        <w:ind w:firstLine="602"/>
        <w:spacing w:line="499" w:lineRule="atLeast"/>
        <w:rPr>
          <w:sz w:val="18"/>
          <w:szCs w:val="16"/>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16"/>
          <w:highlight w:val="none"/>
        </w:rPr>
        <w:t xml:space="preserve">第一部分投标文件内容</w:t>
      </w:r>
      <w:r/>
    </w:p>
    <w:p>
      <w:pPr>
        <w:spacing w:line="499" w:lineRule="atLeast"/>
        <w:rPr>
          <w:sz w:val="18"/>
          <w:szCs w:val="16"/>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16"/>
          <w:highlight w:val="none"/>
        </w:rPr>
        <w:t xml:space="preserve">一、资格证明文件</w:t>
      </w:r>
      <w:r/>
    </w:p>
    <w:tbl>
      <w:tblPr>
        <w:tblStyle w:val="8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5661"/>
        <w:gridCol w:w="2199"/>
      </w:tblGrid>
      <w:tr>
        <w:trPr>
          <w:trHeight w:val="404"/>
        </w:trPr>
        <w:tc>
          <w:tcPr>
            <w:tcMar>
              <w:left w:w="108" w:type="dxa"/>
              <w:top w:w="0" w:type="dxa"/>
              <w:right w:w="108" w:type="dxa"/>
              <w:bottom w:w="0" w:type="dxa"/>
            </w:tcMar>
            <w:tcW w:w="66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序号</w:t>
            </w:r>
            <w:r/>
          </w:p>
        </w:tc>
        <w:tc>
          <w:tcPr>
            <w:tcMar>
              <w:left w:w="108" w:type="dxa"/>
              <w:top w:w="0" w:type="dxa"/>
              <w:right w:w="108" w:type="dxa"/>
              <w:bottom w:w="0" w:type="dxa"/>
            </w:tcMar>
            <w:tcW w:w="566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评审项目及评审要求</w:t>
            </w:r>
            <w:r/>
          </w:p>
        </w:tc>
        <w:tc>
          <w:tcPr>
            <w:tcMar>
              <w:left w:w="108" w:type="dxa"/>
              <w:top w:w="0" w:type="dxa"/>
              <w:right w:w="108" w:type="dxa"/>
              <w:bottom w:w="0" w:type="dxa"/>
            </w:tcMar>
            <w:tcW w:w="219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审查因素</w:t>
            </w:r>
            <w:r/>
          </w:p>
        </w:tc>
      </w:tr>
      <w:tr>
        <w:trPr>
          <w:trHeight w:val="1335"/>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Mar>
              <w:left w:w="108" w:type="dxa"/>
              <w:top w:w="0" w:type="dxa"/>
              <w:right w:w="108" w:type="dxa"/>
              <w:bottom w:w="0" w:type="dxa"/>
            </w:tcMar>
            <w:tcW w:w="2199" w:type="dxa"/>
            <w:vAlign w:val="center"/>
            <w:vMerge w:val="restart"/>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满足《中华人民共和国政府采购法》第二十二条规定</w:t>
            </w:r>
            <w:r/>
          </w:p>
        </w:tc>
      </w:tr>
      <w:tr>
        <w:trPr>
          <w:trHeight w:val="812"/>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《授权委托书》（给定格式；投标人如是自然人情形的，可不提供）。</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684"/>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963"/>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投标人近一年中任意一个月份（不含投标当月）的依法缴纳税收的相关材料（提供相关主管部门证明或银行代扣证明）。</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023"/>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投标人近一年中任意一个月份（不含投标当月）的依法缴纳社会保障资金的相关材料（提供相关主管部门证明或银行代扣证明）。</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5"/>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承诺书</w:t>
            </w:r>
            <w:r>
              <w:rPr>
                <w:rFonts w:hint="eastAsia" w:ascii="宋体" w:hAnsi="宋体" w:cs="宋体"/>
                <w:color w:val="000000"/>
                <w:sz w:val="24"/>
                <w:szCs w:val="24"/>
                <w:highlight w:val="none"/>
              </w:rPr>
              <w:t xml:space="preserve">》（给定格式）。</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0"/>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落实政府采购政策需满足的资格要求的证明文件（如有）</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26"/>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8</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本项目要求的特定资格证明文件未被“信用中国”网站（www.creditchina.gov.cn）列入失信被执行人、重大税收违法案件当事人名单、政府采购严重失信行为记录名单。</w:t>
            </w:r>
            <w:r/>
          </w:p>
        </w:tc>
        <w:tc>
          <w:tcPr>
            <w:tcMar>
              <w:left w:w="108" w:type="dxa"/>
              <w:top w:w="0" w:type="dxa"/>
              <w:right w:w="108" w:type="dxa"/>
              <w:bottom w:w="0" w:type="dxa"/>
            </w:tcMar>
            <w:tcW w:w="2199"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特定资格要求，详见第一章《投标邀请》</w:t>
            </w:r>
            <w:r/>
          </w:p>
        </w:tc>
      </w:tr>
      <w:tr>
        <w:trPr>
          <w:trHeight w:val="1086"/>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9</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《联合体协议》（如有，格式自拟）。</w:t>
            </w:r>
            <w:r/>
          </w:p>
        </w:tc>
        <w:tc>
          <w:tcPr>
            <w:tcMar>
              <w:left w:w="108" w:type="dxa"/>
              <w:top w:w="0" w:type="dxa"/>
              <w:right w:w="108" w:type="dxa"/>
              <w:bottom w:w="0" w:type="dxa"/>
            </w:tcMar>
            <w:tcW w:w="2199"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如接受联合体投标且投标人为联合体时</w:t>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实无法提供的，可以不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上述资格证明文件第8项，如本项目有特定资格要求的（详见第一章《投标邀请》），须提供相应的特定资格证明文件。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sz w:val="20"/>
          <w:szCs w:val="1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18"/>
          <w:highlight w:val="none"/>
        </w:rPr>
        <w:t xml:space="preserve">二、符合性证明文件及其他证明文件</w:t>
      </w:r>
      <w:r/>
    </w:p>
    <w:tbl>
      <w:tblPr>
        <w:tblStyle w:val="8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序号</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评审项及评审要求</w:t>
            </w:r>
            <w:r/>
          </w:p>
        </w:tc>
        <w:tc>
          <w:tcPr>
            <w:tcMar>
              <w:left w:w="108" w:type="dxa"/>
              <w:top w:w="0" w:type="dxa"/>
              <w:right w:w="108" w:type="dxa"/>
              <w:bottom w:w="0" w:type="dxa"/>
            </w:tcMar>
            <w:tcW w:w="190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审查因素</w:t>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投标函（给定格式）</w:t>
            </w:r>
            <w:r/>
          </w:p>
        </w:tc>
        <w:tc>
          <w:tcPr>
            <w:tcMar>
              <w:left w:w="108" w:type="dxa"/>
              <w:top w:w="0" w:type="dxa"/>
              <w:right w:w="108" w:type="dxa"/>
              <w:bottom w:w="0" w:type="dxa"/>
            </w:tcMar>
            <w:tcW w:w="1901" w:type="dxa"/>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符合性证明文件</w:t>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承诺书（给定格式）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开标一览表（给定格式）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明细报价表（给定格式）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投标偏离表（给定格式）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《采购需求》中如有要求须提供的证明文件</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7</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《评标方法与评标标准》中涉及的证明文件</w:t>
            </w:r>
            <w:r/>
          </w:p>
        </w:tc>
        <w:tc>
          <w:tcPr>
            <w:tcMar>
              <w:left w:w="108" w:type="dxa"/>
              <w:top w:w="0" w:type="dxa"/>
              <w:right w:w="108" w:type="dxa"/>
              <w:bottom w:w="0" w:type="dxa"/>
            </w:tcMar>
            <w:tcW w:w="1901" w:type="dxa"/>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其他证明文件</w:t>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其他投标人认为应附的文件（如有，自拟并自行添加）</w:t>
            </w:r>
            <w:r/>
          </w:p>
        </w:tc>
        <w:tc>
          <w:tcPr>
            <w:tcW w:w="0" w:type="auto"/>
            <w:vAlign w:val="center"/>
            <w:vMerge w:val="continue"/>
            <w:textDirection w:val="lrTb"/>
            <w:noWrap w:val="false"/>
          </w:tcPr>
          <w:p>
            <w:pPr>
              <w:jc w:val="center"/>
              <w:spacing w:line="360" w:lineRule="auto"/>
              <w:rPr>
                <w:highlight w:val="none"/>
              </w:rP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上述符合性证明文件及其他证明文件1～7项必须按要求全部提供（有给定格式的，必须按给定格式的要求正确填报并提供，相应格式见本章第二部分），否则投标文件无效。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如项目接受联合体投标，且投标人为联合体时，上述符合性证明文件及其他证明文件第1～5项可由联合体主体单位（即联合体牵头人）代表联合体提供。</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（二）其他证明文件</w:t>
      </w:r>
      <w:r/>
    </w:p>
    <w:p>
      <w:pPr>
        <w:ind w:left="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1.《评标方法与评标标准》中涉及的证明文件。</w:t>
      </w:r>
      <w:r/>
    </w:p>
    <w:p>
      <w:pPr>
        <w:ind w:left="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2.投标人认为如有其他应附的文件可自拟并自行添加。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r>
      <w:r/>
    </w:p>
    <w:p>
      <w:pPr>
        <w:jc w:val="left"/>
        <w:pageBreakBefore/>
        <w:rPr>
          <w:rFonts w:hint="eastAsia" w:ascii="宋体" w:hAnsi="宋体" w:cs="宋体"/>
          <w:bCs/>
          <w:color w:val="auto"/>
          <w:sz w:val="32"/>
          <w:highlight w:val="none"/>
        </w:rPr>
        <w:outlineLvl w:val="1"/>
      </w:pPr>
      <w:r>
        <w:rPr>
          <w:rFonts w:hint="eastAsia" w:ascii="宋体" w:hAnsi="宋体" w:cs="宋体"/>
          <w:bCs/>
          <w:color w:val="auto"/>
          <w:sz w:val="24"/>
          <w:szCs w:val="24"/>
          <w:highlight w:val="none"/>
        </w:rPr>
        <w:t xml:space="preserve">附件二：投标文件格式</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封面格式：</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 公开招标</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color w:val="auto"/>
          <w:sz w:val="36"/>
          <w:szCs w:val="36"/>
          <w:highlight w:val="none"/>
        </w:rPr>
        <w:t xml:space="preserve">投标文件</w:t>
      </w:r>
      <w:r/>
    </w:p>
    <w:p>
      <w:pPr>
        <w:pStyle w:val="826"/>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26"/>
        <w:ind w:left="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采购项目编号：</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 xml:space="preserve">采购项目名称：</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p>
    <w:p>
      <w:pP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u w:val="single"/>
        </w:rPr>
      </w:r>
      <w:r/>
    </w:p>
    <w:p>
      <w:pP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 xml:space="preserve">投标文件内容：</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日</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时</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分</w:t>
      </w:r>
      <w:r>
        <w:rPr>
          <w:rFonts w:hint="eastAsia" w:ascii="宋体" w:hAnsi="宋体" w:cs="宋体"/>
          <w:color w:val="auto"/>
          <w:sz w:val="28"/>
          <w:szCs w:val="28"/>
          <w:highlight w:val="none"/>
        </w:rPr>
        <w:t xml:space="preserve">开标，此时间以前不得开封；</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 xml:space="preserve">投标供应商：</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（盖公章）</w:t>
      </w:r>
      <w:r/>
    </w:p>
    <w:p>
      <w:pP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u w:val="singl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法定代表人或</w:t>
      </w:r>
      <w:r/>
    </w:p>
    <w:p>
      <w:pP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 xml:space="preserve">其委托代理人：</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（签字或盖章）</w:t>
      </w:r>
      <w:r/>
    </w:p>
    <w:p>
      <w:pP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u w:val="singl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日  期：</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 年</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 月</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日</w:t>
      </w:r>
      <w:r/>
    </w:p>
    <w:p>
      <w:pPr>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rPr>
          <w:rFonts w:hint="eastAsia" w:ascii="宋体" w:hAnsi="宋体" w:cs="宋体"/>
          <w:b/>
          <w:bCs/>
          <w:color w:val="auto"/>
          <w:sz w:val="32"/>
          <w:szCs w:val="32"/>
          <w:highlight w:val="none"/>
        </w:rPr>
        <w:outlineLvl w:val="2"/>
      </w:pPr>
      <w:r>
        <w:rPr>
          <w:rFonts w:hint="eastAsia" w:ascii="宋体" w:hAnsi="宋体" w:cs="宋体"/>
          <w:b/>
          <w:color w:val="auto"/>
          <w:sz w:val="32"/>
          <w:szCs w:val="32"/>
          <w:highlight w:val="none"/>
        </w:rPr>
        <w:t xml:space="preserve">（一）投标函（格式）：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投标函</w:t>
      </w:r>
      <w:r/>
    </w:p>
    <w:p>
      <w:pPr>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致：江苏信中天工程咨询有限公司 </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我方收到贵方编号JSZC-320211-SXZT-G2026-0011招标文件，经仔细阅读和研究，我方决定参加此项目的投标。</w:t>
      </w:r>
      <w:r/>
    </w:p>
    <w:p>
      <w:pPr>
        <w:numPr>
          <w:ilvl w:val="0"/>
          <w:numId w:val="8"/>
        </w:numPr>
        <w:ind w:left="0" w:firstLine="525"/>
        <w:spacing w:line="336" w:lineRule="auto"/>
        <w:tabs>
          <w:tab w:val="left" w:pos="315" w:leader="none"/>
          <w:tab w:val="left" w:pos="840" w:leader="none"/>
          <w:tab w:val="left" w:pos="945" w:leader="none"/>
          <w:tab w:val="left" w:pos="105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我方愿意按照招标文件的一切要求，提供本项目的投标，投标总价见《开标一览表》。</w:t>
      </w:r>
      <w:r/>
    </w:p>
    <w:p>
      <w:pPr>
        <w:numPr>
          <w:ilvl w:val="0"/>
          <w:numId w:val="8"/>
        </w:numPr>
        <w:ind w:left="0" w:firstLine="523"/>
        <w:spacing w:line="336" w:lineRule="auto"/>
        <w:tabs>
          <w:tab w:val="left" w:pos="0" w:leader="none"/>
          <w:tab w:val="left" w:pos="315" w:leader="none"/>
          <w:tab w:val="left" w:pos="525" w:leader="none"/>
          <w:tab w:val="left" w:pos="840" w:leader="none"/>
          <w:tab w:val="left" w:pos="945" w:leader="none"/>
          <w:tab w:val="left" w:pos="1050" w:leader="none"/>
        </w:tabs>
        <w:rPr>
          <w:rStyle w:val="1020"/>
          <w:rFonts w:hint="eastAsia"/>
          <w:bCs/>
          <w:color w:val="auto"/>
          <w:highlight w:val="none"/>
        </w:rPr>
      </w:pPr>
      <w:r>
        <w:rPr>
          <w:rFonts w:hint="eastAsia" w:ascii="宋体" w:hAnsi="宋体" w:cs="宋体"/>
          <w:bCs/>
          <w:color w:val="auto"/>
          <w:sz w:val="24"/>
          <w:szCs w:val="24"/>
          <w:highlight w:val="none"/>
        </w:rPr>
        <w:t xml:space="preserve">我方愿意提供招标文件中要求的文件、资料。</w:t>
      </w:r>
      <w:r/>
    </w:p>
    <w:p>
      <w:pPr>
        <w:numPr>
          <w:ilvl w:val="0"/>
          <w:numId w:val="8"/>
        </w:numPr>
        <w:ind w:left="0" w:firstLine="523"/>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我方同意按招标文件中的规定，本投标文件投标的有效期限为开标之日起90天。</w:t>
      </w:r>
      <w:r/>
    </w:p>
    <w:p>
      <w:pPr>
        <w:numPr>
          <w:ilvl w:val="0"/>
          <w:numId w:val="8"/>
        </w:numPr>
        <w:ind w:left="0" w:firstLine="523"/>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8"/>
        </w:numPr>
        <w:ind w:left="0" w:firstLine="523"/>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我方愿意遵守《中华人民共和国政府采购法》，并</w:t>
      </w:r>
      <w:r>
        <w:rPr>
          <w:rFonts w:hint="eastAsia" w:ascii="宋体" w:hAnsi="宋体" w:cs="宋体"/>
          <w:bCs/>
          <w:color w:val="auto"/>
          <w:sz w:val="24"/>
          <w:szCs w:val="24"/>
          <w:highlight w:val="none"/>
          <w:lang w:eastAsia="zh-CN"/>
        </w:rPr>
        <w:t xml:space="preserve">按照《中华人民共和国</w:t>
      </w:r>
      <w:r>
        <w:rPr>
          <w:rFonts w:hint="eastAsia" w:ascii="宋体" w:hAnsi="宋体" w:cs="宋体"/>
          <w:bCs/>
          <w:color w:val="auto"/>
          <w:sz w:val="24"/>
          <w:szCs w:val="24"/>
          <w:highlight w:val="none"/>
        </w:rPr>
        <w:t xml:space="preserve">民法典》、财政部《政府采购货物和服务招标投标管理办法》</w:t>
      </w:r>
      <w:r>
        <w:rPr>
          <w:rFonts w:hint="eastAsia" w:ascii="宋体" w:hAnsi="宋体" w:cs="宋体"/>
          <w:color w:val="auto"/>
          <w:sz w:val="24"/>
          <w:szCs w:val="24"/>
          <w:highlight w:val="none"/>
        </w:rPr>
        <w:t xml:space="preserve">和</w:t>
      </w:r>
      <w:r>
        <w:rPr>
          <w:rFonts w:hint="eastAsia" w:ascii="宋体" w:hAnsi="宋体" w:cs="宋体"/>
          <w:bCs/>
          <w:color w:val="auto"/>
          <w:sz w:val="24"/>
          <w:szCs w:val="24"/>
          <w:highlight w:val="none"/>
        </w:rPr>
        <w:t xml:space="preserve">合同条款履行自己的全部责任。</w:t>
      </w:r>
      <w:r/>
    </w:p>
    <w:p>
      <w:pPr>
        <w:numPr>
          <w:ilvl w:val="0"/>
          <w:numId w:val="8"/>
        </w:numPr>
        <w:ind w:left="0" w:firstLine="523"/>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我方认可并遵守招标文件的所有规定，放弃对招标文件提出质疑的权利。</w:t>
      </w:r>
      <w:r/>
    </w:p>
    <w:p>
      <w:pPr>
        <w:numPr>
          <w:ilvl w:val="0"/>
          <w:numId w:val="8"/>
        </w:numPr>
        <w:ind w:left="0" w:firstLine="523"/>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8"/>
        </w:numPr>
        <w:ind w:left="0" w:firstLine="523"/>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如果我方被确定为中标供应商，我方愿意</w:t>
      </w:r>
      <w:r>
        <w:rPr>
          <w:rFonts w:hint="eastAsia" w:ascii="宋体" w:hAnsi="宋体" w:cs="宋体"/>
          <w:color w:val="auto"/>
          <w:sz w:val="24"/>
          <w:szCs w:val="24"/>
          <w:highlight w:val="none"/>
        </w:rPr>
        <w:t xml:space="preserve">向</w:t>
      </w:r>
      <w:r>
        <w:rPr>
          <w:rFonts w:hint="eastAsia" w:ascii="宋体" w:hAnsi="宋体" w:cs="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80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投标供应商（盖章）：     </w:t>
      </w:r>
      <w:r/>
    </w:p>
    <w:p>
      <w:pPr>
        <w:ind w:firstLine="482"/>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法定代表人或法定代表人授权代表签字或盖章：</w:t>
      </w:r>
      <w:r/>
    </w:p>
    <w:p>
      <w:pPr>
        <w:ind w:firstLine="482"/>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电话：                              传真：</w:t>
      </w:r>
      <w:r/>
    </w:p>
    <w:p>
      <w:pPr>
        <w:ind w:firstLine="480"/>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通讯地址：                          邮编：</w:t>
      </w:r>
      <w:r/>
    </w:p>
    <w:p>
      <w:pPr>
        <w:pageBreakBefore/>
        <w:rPr>
          <w:rFonts w:hint="eastAsia" w:ascii="宋体" w:hAnsi="宋体" w:cs="宋体"/>
          <w:bCs/>
          <w:color w:val="auto"/>
          <w:sz w:val="28"/>
          <w:szCs w:val="28"/>
          <w:highlight w:val="none"/>
        </w:rPr>
        <w:outlineLvl w:val="2"/>
      </w:pPr>
      <w:r>
        <w:rPr>
          <w:rFonts w:hint="eastAsia" w:ascii="宋体" w:hAnsi="宋体" w:cs="宋体"/>
          <w:b/>
          <w:color w:val="auto"/>
          <w:sz w:val="32"/>
          <w:szCs w:val="32"/>
          <w:highlight w:val="none"/>
        </w:rPr>
        <w:t xml:space="preserve">（二）（投标供应商）关于资格的声明函（格式）：</w:t>
      </w:r>
      <w:r/>
    </w:p>
    <w:p>
      <w:pPr>
        <w:spacing w:line="360" w:lineRule="auto"/>
        <w:rPr>
          <w:rFonts w:hint="eastAsia" w:ascii="宋体" w:hAnsi="宋体" w:cs="宋体"/>
          <w:bCs/>
          <w:color w:val="auto"/>
          <w:sz w:val="36"/>
          <w:highlight w:val="none"/>
        </w:rPr>
      </w:pPr>
      <w:r>
        <w:rPr>
          <w:rFonts w:hint="eastAsia" w:ascii="宋体" w:hAnsi="宋体" w:cs="宋体"/>
          <w:bCs/>
          <w:color w:val="auto"/>
          <w:sz w:val="36"/>
          <w:highlight w:val="none"/>
        </w:rPr>
      </w:r>
      <w:r/>
    </w:p>
    <w:p>
      <w:pPr>
        <w:jc w:val="center"/>
        <w:rPr>
          <w:rFonts w:hint="eastAsia" w:ascii="宋体" w:hAnsi="宋体" w:cs="宋体"/>
          <w:bCs/>
          <w:color w:val="auto"/>
          <w:sz w:val="28"/>
          <w:szCs w:val="28"/>
          <w:highlight w:val="none"/>
        </w:rPr>
      </w:pPr>
      <w:r/>
      <w:bookmarkStart w:id="8" w:name="报价方关于资格的声明函（格式）"/>
      <w:r/>
      <w:bookmarkEnd w:id="8"/>
      <w:r>
        <w:rPr>
          <w:rFonts w:hint="eastAsia" w:ascii="宋体" w:hAnsi="宋体" w:cs="宋体"/>
          <w:bCs/>
          <w:color w:val="auto"/>
          <w:sz w:val="28"/>
          <w:szCs w:val="28"/>
          <w:highlight w:val="none"/>
        </w:rPr>
        <w:t xml:space="preserve">关于资格的声明函</w:t>
      </w:r>
      <w:r/>
    </w:p>
    <w:p>
      <w:pPr>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jc w:val="cente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采购项目编号：JSZC-320211-SXZT-G2026-0011</w:t>
      </w:r>
      <w:r/>
    </w:p>
    <w:p>
      <w:pPr>
        <w:jc w:val="center"/>
        <w:spacing w:line="480" w:lineRule="auto"/>
        <w:tabs>
          <w:tab w:val="left" w:pos="63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p>
    <w:p>
      <w:pPr>
        <w:jc w:val="cente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致：江苏信中天工程咨询有限公司</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ind w:firstLine="48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我公司（单位）参加本次项目（     ）政府采购活动前三年内，在经营活动中没有重大违法记录，我公司（单位）愿针对本次项目（       ）进行投标，投标文件中所有关于投标资格的文件、证明、陈述均是真实的、准确的。若有违背，我公司（单位）愿意承担由此而产生的一切后果。</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投标供应商（盖章）：</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法定代表人或法定代表人授权代表（签字或盖章）：</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20"/>
        <w:rPr>
          <w:rFonts w:hint="eastAsia" w:ascii="宋体" w:hAnsi="宋体" w:cs="宋体"/>
          <w:bCs/>
          <w:color w:val="auto"/>
          <w:sz w:val="24"/>
          <w:szCs w:val="24"/>
          <w:highlight w:val="none"/>
        </w:rPr>
      </w:pPr>
      <w:r>
        <w:rPr>
          <w:rFonts w:hint="eastAsia" w:ascii="宋体" w:hAnsi="宋体" w:cs="宋体"/>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ageBreakBefore/>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（三）（投标供应商）法定代表人授权委托书（格式）：</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法定代表人授权委托书</w:t>
      </w:r>
      <w:r/>
    </w:p>
    <w:p>
      <w:pPr>
        <w:jc w:val="center"/>
        <w:spacing w:line="360" w:lineRule="auto"/>
        <w:rPr>
          <w:rFonts w:hint="eastAsia" w:ascii="宋体" w:hAnsi="宋体" w:cs="宋体"/>
          <w:bCs/>
          <w:color w:val="auto"/>
          <w:sz w:val="36"/>
          <w:highlight w:val="none"/>
        </w:rPr>
      </w:pPr>
      <w:r>
        <w:rPr>
          <w:rFonts w:hint="eastAsia" w:ascii="宋体" w:hAnsi="宋体" w:cs="宋体"/>
          <w:bCs/>
          <w:color w:val="auto"/>
          <w:sz w:val="36"/>
          <w:highlight w:val="none"/>
        </w:rPr>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30"/>
          <w:highlight w:val="none"/>
        </w:rPr>
        <w:t xml:space="preserve">                           </w:t>
      </w:r>
      <w:r>
        <w:rPr>
          <w:rFonts w:hint="eastAsia" w:ascii="宋体" w:hAnsi="宋体" w:cs="宋体"/>
          <w:bCs/>
          <w:color w:val="auto"/>
          <w:sz w:val="24"/>
          <w:szCs w:val="24"/>
          <w:highlight w:val="none"/>
        </w:rPr>
        <w:t xml:space="preserve">采购项目编号：JSZC-320211-SXZT-G2026-0011</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江苏信中天工程咨询有限公司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（投标供应商名称）       </w:t>
      </w:r>
      <w:r>
        <w:rPr>
          <w:rFonts w:hint="eastAsia" w:ascii="宋体" w:hAnsi="宋体" w:cs="宋体"/>
          <w:color w:val="auto"/>
          <w:sz w:val="24"/>
          <w:highlight w:val="none"/>
        </w:rPr>
        <w:t xml:space="preserve">系中华人民共和国合法企业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特授权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代表我公司（单位）全权办理针对本项目（采购编号：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）的报价等具体工作，并签署全部有关文件、协议及合同。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我公司（单位）对被授权人的签名负全部责任。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姓名：          性别：         年龄：          职务：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身份证号码：                   电话：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通讯地址：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被授权人签名：                  单位名称（盖章）：</w:t>
      </w:r>
      <w:r/>
    </w:p>
    <w:p>
      <w:pPr>
        <w:ind w:firstLine="43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7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504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授权代表身份证复印件</w:t>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keepLines/>
        <w:keepNext/>
        <w:spacing w:before="100" w:line="400" w:lineRule="exact"/>
        <w:rPr>
          <w:rFonts w:cs="宋体"/>
          <w:b/>
          <w:color w:val="auto"/>
          <w:sz w:val="28"/>
          <w:highlight w:val="none"/>
        </w:rPr>
        <w:outlineLvl w:val="1"/>
      </w:pPr>
      <w:r>
        <w:rPr>
          <w:rFonts w:hint="eastAsia" w:hAnsi="宋体"/>
          <w:b/>
          <w:color w:val="auto"/>
          <w:sz w:val="24"/>
          <w:highlight w:val="none"/>
        </w:rPr>
        <w:t xml:space="preserve">法定代表人身份证明书（格式）（适用于无委托代理人的情况）</w:t>
      </w:r>
      <w:r/>
    </w:p>
    <w:p>
      <w:pPr>
        <w:jc w:val="center"/>
        <w:keepLines/>
        <w:keepNext/>
        <w:spacing w:before="100" w:line="400" w:lineRule="exact"/>
        <w:rPr>
          <w:rFonts w:eastAsia="黑体" w:cs="宋体"/>
          <w:color w:val="auto"/>
          <w:sz w:val="28"/>
          <w:highlight w:val="none"/>
        </w:rPr>
        <w:outlineLvl w:val="1"/>
      </w:pPr>
      <w:r>
        <w:rPr>
          <w:rFonts w:eastAsia="黑体" w:cs="宋体"/>
          <w:color w:val="auto"/>
          <w:sz w:val="28"/>
          <w:highlight w:val="none"/>
        </w:rPr>
      </w:r>
      <w:r/>
    </w:p>
    <w:p>
      <w:pPr>
        <w:jc w:val="center"/>
        <w:keepLines/>
        <w:keepNext/>
        <w:spacing w:before="100" w:line="400" w:lineRule="exact"/>
        <w:rPr>
          <w:color w:val="auto"/>
          <w:highlight w:val="none"/>
        </w:rPr>
        <w:outlineLvl w:val="1"/>
      </w:pPr>
      <w:r>
        <w:rPr>
          <w:rFonts w:eastAsia="黑体" w:cs="宋体"/>
          <w:color w:val="auto"/>
          <w:sz w:val="28"/>
          <w:highlight w:val="none"/>
        </w:rPr>
        <w:t xml:space="preserve">法定代表人身份证明</w:t>
      </w:r>
      <w:r/>
    </w:p>
    <w:p>
      <w:pPr>
        <w:ind w:firstLine="600"/>
        <w:spacing w:line="560" w:lineRule="exact"/>
        <w:rPr>
          <w:color w:val="auto"/>
          <w:sz w:val="24"/>
          <w:szCs w:val="24"/>
          <w:highlight w:val="none"/>
        </w:rPr>
      </w:pPr>
      <w:r>
        <w:rPr>
          <w:color w:val="auto"/>
          <w:sz w:val="24"/>
          <w:szCs w:val="24"/>
          <w:highlight w:val="none"/>
        </w:rPr>
        <w:t xml:space="preserve">投 标 人：</w:t>
      </w:r>
      <w:r>
        <w:rPr>
          <w:color w:val="auto"/>
          <w:sz w:val="24"/>
          <w:szCs w:val="24"/>
          <w:highlight w:val="none"/>
          <w:u w:val="single"/>
        </w:rPr>
        <w:t xml:space="preserve">                                                        </w:t>
      </w:r>
      <w:r/>
    </w:p>
    <w:p>
      <w:pPr>
        <w:ind w:firstLine="600"/>
        <w:spacing w:line="560" w:lineRule="exact"/>
        <w:rPr>
          <w:color w:val="auto"/>
          <w:sz w:val="24"/>
          <w:szCs w:val="24"/>
          <w:highlight w:val="none"/>
        </w:rPr>
      </w:pPr>
      <w:r>
        <w:rPr>
          <w:color w:val="auto"/>
          <w:sz w:val="24"/>
          <w:szCs w:val="24"/>
          <w:highlight w:val="none"/>
        </w:rPr>
        <w:t xml:space="preserve">单位性质：</w:t>
      </w:r>
      <w:r>
        <w:rPr>
          <w:color w:val="auto"/>
          <w:sz w:val="24"/>
          <w:szCs w:val="24"/>
          <w:highlight w:val="none"/>
          <w:u w:val="single"/>
        </w:rPr>
        <w:t xml:space="preserve">                                                        </w:t>
      </w:r>
      <w:r/>
    </w:p>
    <w:p>
      <w:pPr>
        <w:ind w:firstLine="600"/>
        <w:spacing w:line="560" w:lineRule="exact"/>
        <w:rPr>
          <w:color w:val="auto"/>
          <w:sz w:val="24"/>
          <w:szCs w:val="24"/>
          <w:highlight w:val="none"/>
        </w:rPr>
      </w:pPr>
      <w:r>
        <w:rPr>
          <w:color w:val="auto"/>
          <w:sz w:val="24"/>
          <w:szCs w:val="24"/>
          <w:highlight w:val="none"/>
        </w:rPr>
        <w:t xml:space="preserve">地    址：</w:t>
      </w:r>
      <w:r>
        <w:rPr>
          <w:color w:val="auto"/>
          <w:sz w:val="24"/>
          <w:szCs w:val="24"/>
          <w:highlight w:val="none"/>
          <w:u w:val="single"/>
        </w:rPr>
        <w:t xml:space="preserve">                                                        </w:t>
      </w:r>
      <w:r/>
    </w:p>
    <w:p>
      <w:pPr>
        <w:ind w:firstLine="600"/>
        <w:spacing w:line="560" w:lineRule="exact"/>
        <w:rPr>
          <w:color w:val="auto"/>
          <w:sz w:val="24"/>
          <w:szCs w:val="24"/>
          <w:highlight w:val="none"/>
        </w:rPr>
      </w:pPr>
      <w:r>
        <w:rPr>
          <w:color w:val="auto"/>
          <w:sz w:val="24"/>
          <w:szCs w:val="24"/>
          <w:highlight w:val="none"/>
        </w:rPr>
        <w:t xml:space="preserve">成立时间：</w:t>
      </w:r>
      <w:r>
        <w:rPr>
          <w:color w:val="auto"/>
          <w:sz w:val="24"/>
          <w:szCs w:val="24"/>
          <w:highlight w:val="none"/>
          <w:u w:val="single"/>
        </w:rPr>
        <w:t xml:space="preserve">                 </w:t>
      </w:r>
      <w:r>
        <w:rPr>
          <w:color w:val="auto"/>
          <w:sz w:val="24"/>
          <w:szCs w:val="24"/>
          <w:highlight w:val="none"/>
        </w:rPr>
        <w:t xml:space="preserve">年</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color w:val="auto"/>
          <w:sz w:val="24"/>
          <w:szCs w:val="24"/>
          <w:highlight w:val="none"/>
        </w:rPr>
        <w:t xml:space="preserve">日</w:t>
      </w:r>
      <w:r/>
    </w:p>
    <w:p>
      <w:pPr>
        <w:ind w:firstLine="600"/>
        <w:spacing w:line="560" w:lineRule="exact"/>
        <w:rPr>
          <w:color w:val="auto"/>
          <w:sz w:val="24"/>
          <w:szCs w:val="24"/>
          <w:highlight w:val="none"/>
        </w:rPr>
      </w:pPr>
      <w:r>
        <w:rPr>
          <w:color w:val="auto"/>
          <w:sz w:val="24"/>
          <w:szCs w:val="24"/>
          <w:highlight w:val="none"/>
        </w:rPr>
        <w:t xml:space="preserve">经营期限：</w:t>
      </w:r>
      <w:r>
        <w:rPr>
          <w:color w:val="auto"/>
          <w:sz w:val="24"/>
          <w:szCs w:val="24"/>
          <w:highlight w:val="none"/>
          <w:u w:val="single"/>
        </w:rPr>
        <w:t xml:space="preserve">                                                        </w:t>
      </w:r>
      <w:r/>
    </w:p>
    <w:p>
      <w:pPr>
        <w:ind w:firstLine="600"/>
        <w:spacing w:line="560" w:lineRule="exact"/>
        <w:rPr>
          <w:color w:val="auto"/>
          <w:sz w:val="24"/>
          <w:szCs w:val="24"/>
          <w:highlight w:val="none"/>
        </w:rPr>
      </w:pPr>
      <w:r>
        <w:rPr>
          <w:color w:val="auto"/>
          <w:sz w:val="24"/>
          <w:szCs w:val="24"/>
          <w:highlight w:val="none"/>
        </w:rPr>
        <w:t xml:space="preserve">姓    名：</w:t>
      </w:r>
      <w:r>
        <w:rPr>
          <w:color w:val="auto"/>
          <w:sz w:val="24"/>
          <w:szCs w:val="24"/>
          <w:highlight w:val="none"/>
          <w:u w:val="single"/>
        </w:rPr>
        <w:t xml:space="preserve">                          </w:t>
      </w:r>
      <w:r>
        <w:rPr>
          <w:color w:val="auto"/>
          <w:sz w:val="24"/>
          <w:szCs w:val="24"/>
          <w:highlight w:val="none"/>
        </w:rPr>
        <w:t xml:space="preserve">性     别：</w:t>
      </w:r>
      <w:r>
        <w:rPr>
          <w:color w:val="auto"/>
          <w:sz w:val="24"/>
          <w:szCs w:val="24"/>
          <w:highlight w:val="none"/>
          <w:u w:val="single"/>
        </w:rPr>
        <w:t xml:space="preserve">                   </w:t>
      </w:r>
      <w:r/>
    </w:p>
    <w:p>
      <w:pPr>
        <w:ind w:firstLine="600"/>
        <w:spacing w:line="560" w:lineRule="exact"/>
        <w:rPr>
          <w:color w:val="auto"/>
          <w:sz w:val="24"/>
          <w:szCs w:val="24"/>
          <w:highlight w:val="none"/>
        </w:rPr>
      </w:pPr>
      <w:r>
        <w:rPr>
          <w:color w:val="auto"/>
          <w:sz w:val="24"/>
          <w:szCs w:val="24"/>
          <w:highlight w:val="none"/>
        </w:rPr>
        <w:t xml:space="preserve">年    龄：</w:t>
      </w:r>
      <w:r>
        <w:rPr>
          <w:color w:val="auto"/>
          <w:sz w:val="24"/>
          <w:szCs w:val="24"/>
          <w:highlight w:val="none"/>
          <w:u w:val="single"/>
        </w:rPr>
        <w:t xml:space="preserve">                          </w:t>
      </w:r>
      <w:r>
        <w:rPr>
          <w:color w:val="auto"/>
          <w:sz w:val="24"/>
          <w:szCs w:val="24"/>
          <w:highlight w:val="none"/>
        </w:rPr>
        <w:t xml:space="preserve">职     务：</w:t>
      </w:r>
      <w:r>
        <w:rPr>
          <w:color w:val="auto"/>
          <w:sz w:val="24"/>
          <w:szCs w:val="24"/>
          <w:highlight w:val="none"/>
          <w:u w:val="single"/>
        </w:rPr>
        <w:t xml:space="preserve">                   </w:t>
      </w:r>
      <w:r/>
    </w:p>
    <w:p>
      <w:pPr>
        <w:ind w:firstLine="600"/>
        <w:spacing w:line="560" w:lineRule="exact"/>
        <w:rPr>
          <w:color w:val="auto"/>
          <w:sz w:val="24"/>
          <w:szCs w:val="24"/>
          <w:highlight w:val="none"/>
        </w:rPr>
      </w:pPr>
      <w:r>
        <w:rPr>
          <w:color w:val="auto"/>
          <w:sz w:val="24"/>
          <w:szCs w:val="24"/>
          <w:highlight w:val="none"/>
        </w:rPr>
        <w:t xml:space="preserve">系</w:t>
      </w:r>
      <w:r>
        <w:rPr>
          <w:color w:val="auto"/>
          <w:sz w:val="24"/>
          <w:szCs w:val="24"/>
          <w:highlight w:val="none"/>
          <w:u w:val="single"/>
        </w:rPr>
        <w:t xml:space="preserve">                                  </w:t>
      </w:r>
      <w:r>
        <w:rPr>
          <w:color w:val="auto"/>
          <w:sz w:val="24"/>
          <w:szCs w:val="24"/>
          <w:highlight w:val="none"/>
        </w:rPr>
        <w:t xml:space="preserve">（投标人名称）的法定代表人。</w:t>
      </w:r>
      <w:r/>
    </w:p>
    <w:p>
      <w:pPr>
        <w:ind w:firstLine="600"/>
        <w:spacing w:line="560" w:lineRule="exact"/>
        <w:rPr>
          <w:color w:val="auto"/>
          <w:sz w:val="24"/>
          <w:szCs w:val="24"/>
          <w:highlight w:val="none"/>
        </w:rPr>
      </w:pPr>
      <w:r>
        <w:rPr>
          <w:color w:val="auto"/>
          <w:sz w:val="24"/>
          <w:szCs w:val="24"/>
          <w:highlight w:val="none"/>
        </w:rPr>
        <w:t xml:space="preserve">特此证明。</w:t>
      </w:r>
      <w:r/>
    </w:p>
    <w:p>
      <w:pPr>
        <w:spacing w:line="500" w:lineRule="exact"/>
        <w:rPr>
          <w:color w:val="auto"/>
          <w:sz w:val="24"/>
          <w:szCs w:val="24"/>
          <w:highlight w:val="none"/>
        </w:rPr>
      </w:pPr>
      <w:r>
        <w:rPr>
          <w:color w:val="auto"/>
          <w:sz w:val="24"/>
          <w:szCs w:val="24"/>
          <w:highlight w:val="none"/>
        </w:rPr>
      </w:r>
      <w:r/>
    </w:p>
    <w:p>
      <w:pPr>
        <w:spacing w:line="500" w:lineRule="exact"/>
        <w:rPr>
          <w:color w:val="auto"/>
          <w:sz w:val="24"/>
          <w:szCs w:val="24"/>
          <w:highlight w:val="none"/>
        </w:rPr>
      </w:pPr>
      <w:r>
        <w:rPr>
          <w:color w:val="auto"/>
          <w:sz w:val="24"/>
          <w:szCs w:val="24"/>
          <w:highlight w:val="none"/>
        </w:rPr>
        <w:t xml:space="preserve">附：法定代表人身份证扫描件。</w:t>
      </w:r>
      <w:r/>
    </w:p>
    <w:p>
      <w:pPr>
        <w:spacing w:line="500" w:lineRule="exact"/>
        <w:rPr>
          <w:color w:val="auto"/>
          <w:sz w:val="24"/>
          <w:szCs w:val="24"/>
          <w:highlight w:val="none"/>
        </w:rPr>
      </w:pPr>
      <w:r>
        <w:rPr>
          <w:color w:val="auto"/>
          <w:sz w:val="24"/>
          <w:szCs w:val="24"/>
          <w:highlight w:val="none"/>
        </w:rPr>
        <w:t xml:space="preserve">注：本身份证明需由投标人加盖单位公章。</w:t>
      </w:r>
      <w:r/>
    </w:p>
    <w:p>
      <w:pPr>
        <w:spacing w:line="500" w:lineRule="exact"/>
        <w:rPr>
          <w:color w:val="auto"/>
          <w:sz w:val="24"/>
          <w:szCs w:val="24"/>
          <w:highlight w:val="none"/>
        </w:rPr>
      </w:pPr>
      <w:r>
        <w:rPr>
          <w:color w:val="auto"/>
          <w:sz w:val="24"/>
          <w:szCs w:val="24"/>
          <w:highlight w:val="none"/>
        </w:rPr>
      </w:r>
      <w:r/>
    </w:p>
    <w:p>
      <w:pPr>
        <w:spacing w:line="500" w:lineRule="exact"/>
        <w:rPr>
          <w:color w:val="auto"/>
          <w:sz w:val="24"/>
          <w:szCs w:val="24"/>
          <w:highlight w:val="none"/>
        </w:rPr>
      </w:pPr>
      <w:r>
        <w:rPr>
          <w:color w:val="auto"/>
          <w:sz w:val="24"/>
          <w:szCs w:val="24"/>
          <w:highlight w:val="none"/>
        </w:rPr>
      </w:r>
      <w:r/>
    </w:p>
    <w:p>
      <w:pPr>
        <w:jc w:val="right"/>
        <w:spacing w:line="500" w:lineRule="exact"/>
        <w:rPr>
          <w:color w:val="auto"/>
          <w:sz w:val="24"/>
          <w:szCs w:val="24"/>
          <w:highlight w:val="none"/>
        </w:rPr>
      </w:pPr>
      <w:r>
        <w:rPr>
          <w:color w:val="auto"/>
          <w:sz w:val="24"/>
          <w:szCs w:val="24"/>
          <w:highlight w:val="none"/>
        </w:rPr>
        <w:t xml:space="preserve">投标人：</w:t>
      </w:r>
      <w:r>
        <w:rPr>
          <w:color w:val="auto"/>
          <w:sz w:val="24"/>
          <w:szCs w:val="24"/>
          <w:highlight w:val="none"/>
          <w:u w:val="single"/>
        </w:rPr>
        <w:t xml:space="preserve">                          </w:t>
      </w:r>
      <w:r>
        <w:rPr>
          <w:color w:val="auto"/>
          <w:sz w:val="24"/>
          <w:szCs w:val="24"/>
          <w:highlight w:val="none"/>
        </w:rPr>
        <w:t xml:space="preserve">（盖单位章）</w:t>
      </w:r>
      <w:r/>
    </w:p>
    <w:p>
      <w:pPr>
        <w:jc w:val="right"/>
        <w:spacing w:line="500" w:lineRule="exact"/>
        <w:rPr>
          <w:color w:val="auto"/>
          <w:sz w:val="24"/>
          <w:szCs w:val="24"/>
          <w:highlight w:val="none"/>
        </w:rPr>
      </w:pP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年</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color w:val="auto"/>
          <w:sz w:val="24"/>
          <w:szCs w:val="24"/>
          <w:highlight w:val="none"/>
        </w:rPr>
        <w:t xml:space="preserve">日</w:t>
      </w:r>
      <w:r/>
    </w:p>
    <w:p>
      <w:pPr>
        <w:rPr>
          <w:rFonts w:hint="eastAsia" w:hAnsi="宋体"/>
          <w:bCs/>
          <w:color w:val="auto"/>
          <w:sz w:val="28"/>
          <w:szCs w:val="28"/>
          <w:highlight w:val="none"/>
        </w:rPr>
      </w:pPr>
      <w:r>
        <w:rPr>
          <w:rFonts w:hint="eastAsia" w:hAnsi="宋体"/>
          <w:bCs/>
          <w:color w:val="auto"/>
          <w:sz w:val="28"/>
          <w:szCs w:val="28"/>
          <w:highlight w:val="none"/>
        </w:rPr>
      </w:r>
      <w:r/>
    </w:p>
    <w:p>
      <w:pPr>
        <w:rPr>
          <w:rFonts w:hint="eastAsia" w:hAnsi="宋体"/>
          <w:bCs/>
          <w:color w:val="auto"/>
          <w:sz w:val="28"/>
          <w:szCs w:val="28"/>
          <w:highlight w:val="none"/>
        </w:rPr>
      </w:pPr>
      <w:r>
        <w:rPr>
          <w:rFonts w:hint="eastAsia" w:hAnsi="宋体"/>
          <w:bCs/>
          <w:color w:val="auto"/>
          <w:sz w:val="28"/>
          <w:szCs w:val="28"/>
          <w:highlight w:val="none"/>
        </w:rPr>
      </w:r>
      <w:r/>
    </w:p>
    <w:tbl>
      <w:tblPr>
        <w:tblStyle w:val="788"/>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textDirection w:val="lrTb"/>
            <w:noWrap w:val="false"/>
          </w:tcPr>
          <w:p>
            <w:pPr>
              <w:spacing w:before="4"/>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4"/>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法定代表人身份证复印件</w:t>
            </w:r>
            <w:r/>
          </w:p>
          <w:p>
            <w:pPr>
              <w:jc w:val="center"/>
              <w:spacing w:before="4"/>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（正面）</w:t>
            </w:r>
            <w:r/>
          </w:p>
        </w:tc>
        <w:tc>
          <w:tcPr>
            <w:tcW w:w="458" w:type="dxa"/>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022" w:type="dxa"/>
            <w:textDirection w:val="lrTb"/>
            <w:noWrap w:val="false"/>
          </w:tcPr>
          <w:p>
            <w:pPr>
              <w:spacing w:before="4"/>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4"/>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法定代表人身份证复印件</w:t>
            </w:r>
            <w:r/>
          </w:p>
          <w:p>
            <w:pPr>
              <w:jc w:val="center"/>
              <w:spacing w:before="4"/>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（反面）</w:t>
            </w:r>
            <w:r/>
          </w:p>
        </w:tc>
      </w:tr>
    </w:tbl>
    <w:p>
      <w:pPr>
        <w:jc w:val="left"/>
        <w:pageBreakBefore/>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（四）拟投入本项目人员配备表（格式）</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bCs/>
          <w:color w:val="auto"/>
          <w:sz w:val="24"/>
          <w:szCs w:val="24"/>
          <w:highlight w:val="none"/>
        </w:rPr>
        <w:t xml:space="preserve">拟投入本项目人员配备表（</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项目）</w:t>
      </w:r>
      <w:r/>
    </w:p>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投标供应商名称（盖章）           采购项目编号：JSZC-320211-SXZT-G2026-0011</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拟在本项目担任职务</w:t>
            </w:r>
            <w:r/>
          </w:p>
        </w:tc>
        <w:tc>
          <w:tcPr>
            <w:tcW w:w="197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姓名</w:t>
            </w:r>
            <w:r/>
          </w:p>
        </w:tc>
        <w:tc>
          <w:tcPr>
            <w:tcW w:w="1797"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职称</w:t>
            </w:r>
            <w:r/>
          </w:p>
        </w:tc>
        <w:tc>
          <w:tcPr>
            <w:tcW w:w="305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79"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797"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3058"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Height w:val="710"/>
        </w:trPr>
        <w:tc>
          <w:tcPr>
            <w:tcW w:w="2397"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979"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797"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3058"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979"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797"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3058"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979"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797"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3058"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979"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797"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3058"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979"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797"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3058"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Height w:val="762"/>
        </w:trPr>
        <w:tc>
          <w:tcPr>
            <w:tcW w:w="2397"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979"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797"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3058" w:type="dxa"/>
            <w:textDirection w:val="lrTb"/>
            <w:noWrap w:val="false"/>
          </w:tcPr>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法定代表人或法定代表人授权代表签字或盖章：</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注：1.上表如需要自行延长。</w:t>
      </w:r>
      <w:r/>
    </w:p>
    <w:p>
      <w:pPr>
        <w:ind w:firstLine="480"/>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2.上表内容须提供人员证书原件扫描件、社保机构出具本投标供应商的近三个月（2026年3月—2026年5月）任意一个月份的社保证明的缴费证明扫描件作为填列证明材料，证明材料请附在本表之后。</w:t>
      </w:r>
      <w:r/>
    </w:p>
    <w:p>
      <w:pPr>
        <w:jc w:val="left"/>
        <w:pageBreakBefore/>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（五）业绩一览表（格式）</w:t>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业绩一览表（</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项目）</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供应商名称（盖章）                    采购编号：JSZC-320211-SXZT-G2026-0011</w:t>
      </w:r>
      <w:r/>
    </w:p>
    <w:tbl>
      <w:tblPr>
        <w:tblStyle w:val="788"/>
        <w:tblpPr w:horzAnchor="page" w:tblpX="1110" w:vertAnchor="text" w:tblpY="297"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283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417"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283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417"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w:t>
            </w:r>
            <w:r/>
          </w:p>
        </w:tc>
        <w:tc>
          <w:tcPr>
            <w:tcW w:w="148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283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417"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4</w:t>
            </w:r>
            <w:r/>
          </w:p>
        </w:tc>
        <w:tc>
          <w:tcPr>
            <w:tcW w:w="148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283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417"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5</w:t>
            </w:r>
            <w:r/>
          </w:p>
        </w:tc>
        <w:tc>
          <w:tcPr>
            <w:tcW w:w="148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283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417"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6</w:t>
            </w:r>
            <w:r/>
          </w:p>
        </w:tc>
        <w:tc>
          <w:tcPr>
            <w:tcW w:w="148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283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417"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2835"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417"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vAlign w:val="center"/>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559" w:type="dxa"/>
            <w:textDirection w:val="lrTb"/>
            <w:noWrap w:val="false"/>
          </w:tcPr>
          <w:p>
            <w:pPr>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bl>
    <w:p>
      <w:pPr>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法定代表人或法定代表人授权代表签字或盖章：</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备注：合同等复印件请附于本表之后。</w:t>
      </w:r>
      <w:r/>
    </w:p>
    <w:p>
      <w:pPr>
        <w:jc w:val="left"/>
        <w:rPr>
          <w:rFonts w:hint="eastAsia" w:ascii="宋体" w:hAnsi="宋体" w:cs="宋体"/>
          <w:bCs/>
          <w:color w:val="auto"/>
          <w:sz w:val="24"/>
          <w:szCs w:val="24"/>
          <w:highlight w:val="none"/>
        </w:rPr>
        <w:outlineLvl w:val="0"/>
      </w:pPr>
      <w:r>
        <w:rPr>
          <w:rFonts w:hint="eastAsia" w:ascii="宋体" w:hAnsi="宋体" w:cs="宋体"/>
          <w:color w:val="auto"/>
          <w:sz w:val="24"/>
          <w:szCs w:val="24"/>
          <w:highlight w:val="none"/>
        </w:rPr>
        <w:t xml:space="preserve">表格不够可自行扩展。</w:t>
      </w:r>
      <w:r/>
    </w:p>
    <w:p>
      <w:pPr>
        <w:jc w:val="lef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4"/>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826"/>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826"/>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826"/>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pStyle w:val="825"/>
        <w:rPr>
          <w:color w:val="auto"/>
          <w:highlight w:val="none"/>
        </w:rPr>
      </w:pPr>
      <w:r>
        <w:rPr>
          <w:color w:val="auto"/>
          <w:highlight w:val="none"/>
        </w:rPr>
      </w:r>
      <w:r/>
    </w:p>
    <w:p>
      <w:pPr>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（六）承诺书（格式）：</w:t>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承诺书</w:t>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（投标供应商名称）针</w:t>
      </w:r>
      <w:r>
        <w:rPr>
          <w:rFonts w:hint="eastAsia" w:ascii="宋体" w:hAnsi="宋体" w:cs="宋体"/>
          <w:bCs/>
          <w:color w:val="auto"/>
          <w:sz w:val="24"/>
          <w:szCs w:val="24"/>
          <w:highlight w:val="none"/>
        </w:rPr>
        <w:t xml:space="preserve">对本项目（ ）</w:t>
      </w:r>
      <w:r>
        <w:rPr>
          <w:rFonts w:hint="eastAsia" w:ascii="宋体" w:hAnsi="宋体" w:cs="宋体"/>
          <w:color w:val="auto"/>
          <w:sz w:val="24"/>
          <w:szCs w:val="24"/>
          <w:highlight w:val="none"/>
        </w:rPr>
        <w:t xml:space="preserve">在此承诺：</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cs="宋体"/>
          <w:bCs/>
          <w:color w:val="auto"/>
          <w:sz w:val="24"/>
          <w:szCs w:val="24"/>
          <w:highlight w:val="none"/>
        </w:rPr>
        <w:t xml:space="preserve">对本项目（    ）所提供的南京大学无锡滨湖大气前沿技术与高端装备创新研究院科技展厅布展项目符合采购文件要求；</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3、本公司未被“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1021"/>
          <w:rFonts w:hint="eastAsia" w:ascii="宋体" w:hAnsi="宋体" w:cs="宋体"/>
          <w:bCs/>
          <w:color w:val="auto"/>
          <w:sz w:val="24"/>
          <w:szCs w:val="24"/>
          <w:highlight w:val="none"/>
        </w:rPr>
        <w:t xml:space="preserve">www.creditchina.gov.cn</w:t>
      </w:r>
      <w:r>
        <w:rPr>
          <w:rStyle w:val="1021"/>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96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如违背上述承诺，本公司</w:t>
      </w:r>
      <w:r>
        <w:rPr>
          <w:rFonts w:hint="eastAsia" w:ascii="宋体" w:hAnsi="宋体" w:cs="宋体"/>
          <w:color w:val="auto"/>
          <w:sz w:val="24"/>
          <w:szCs w:val="24"/>
          <w:highlight w:val="none"/>
        </w:rPr>
        <w:t xml:space="preserve">（单位）</w:t>
      </w:r>
      <w:r>
        <w:rPr>
          <w:rFonts w:hint="eastAsia" w:ascii="宋体" w:hAnsi="宋体" w:cs="宋体"/>
          <w:bCs/>
          <w:color w:val="auto"/>
          <w:sz w:val="24"/>
          <w:szCs w:val="24"/>
          <w:highlight w:val="none"/>
        </w:rPr>
        <w:t xml:space="preserve">将承担一切法律责任。</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3720"/>
        <w:spacing w:line="48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（盖章）：</w:t>
      </w:r>
      <w:r/>
    </w:p>
    <w:p>
      <w:pPr>
        <w:ind w:firstLine="48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法定代表人或法定代表人授权代表签字或盖章：</w:t>
      </w:r>
      <w:r/>
    </w:p>
    <w:p>
      <w:pPr>
        <w:ind w:firstLine="48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20"/>
        <w:spacing w:line="480" w:lineRule="auto"/>
        <w:rPr>
          <w:rFonts w:hint="eastAsia" w:ascii="宋体" w:hAnsi="宋体" w:cs="宋体"/>
          <w:bCs/>
          <w:color w:val="auto"/>
          <w:sz w:val="24"/>
          <w:szCs w:val="24"/>
          <w:highlight w:val="none"/>
        </w:rPr>
      </w:pPr>
      <w:r>
        <w:rPr>
          <w:rFonts w:hint="eastAsia" w:ascii="宋体" w:hAnsi="宋体" w:cs="宋体"/>
          <w:bCs/>
          <w:color w:val="auto"/>
          <w:szCs w:val="21"/>
          <w:highlight w:val="none"/>
        </w:rPr>
        <w:t xml:space="preserve">注：以上内容由投标单位根据采购要求可自行完善。</w:t>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政府采购投标及履约承诺函</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（投标供应商名称）在此承诺：</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我公司（单位）愿针对此次 </w:t>
      </w:r>
      <w:r>
        <w:rPr>
          <w:rFonts w:hint="eastAsia" w:ascii="宋体" w:hAnsi="宋体" w:cs="宋体"/>
          <w:bCs/>
          <w:color w:val="auto"/>
          <w:sz w:val="24"/>
          <w:szCs w:val="24"/>
          <w:highlight w:val="none"/>
          <w:u w:val="single"/>
        </w:rPr>
        <w:t xml:space="preserve">                  ，     标段 </w:t>
      </w:r>
      <w:r>
        <w:rPr>
          <w:rFonts w:hint="eastAsia" w:ascii="宋体" w:hAnsi="宋体" w:cs="宋体"/>
          <w:bCs/>
          <w:color w:val="auto"/>
          <w:sz w:val="24"/>
          <w:szCs w:val="24"/>
          <w:highlight w:val="none"/>
        </w:rPr>
        <w:t xml:space="preserve">（项目名称）进行投标。我单位承诺如下：</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1.我单位本招标项目所提供的货物或服务未侵犯知识产权。</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2.我单位参与本项目投标前三年内，在经营活动中没有违法记录。</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3.我单位参与本项目政府采购活动时不存在被有关部门禁止参与政府采购活动且在有效期内的情况。 </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4.我单位具备《中华人民共和国政府采购法》第二十二条规定的条件，承诺如下：</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（2）我方符合法律、行政法规规定的其他条件。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7.我方与其他供应商不存在单位负责人为同一人或者存在直接控股、管理关系。</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8.我方承诺未为本项目提供整体设计、规范编制或者项目管理、监理、检测等服务。</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10.我单位如果中标，做到诚实守信，依照本项目招标文件需求内容、签署的采购合同及本单位在投标中所做的一切承诺履约。</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13.我单位承诺不非法转包、分包。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以上承诺，如有违反，愿依照国家相关法律处理，并承担由此给采购人带来的损失。</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15.所有与本项目有关的函件请发往下列地址：</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地 址：__________________，邮政编码：__________________</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电 话：__________________，传 真：_____________</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代表姓名：_______________，职 务：_______________</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37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投标供应商（盖章）：</w:t>
      </w:r>
      <w:r/>
    </w:p>
    <w:p>
      <w:pPr>
        <w:ind w:firstLine="3703"/>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法定代表人或法定代表人授权代表签字或盖章：</w:t>
      </w:r>
      <w:r/>
    </w:p>
    <w:p>
      <w:pPr>
        <w:ind w:firstLine="384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日  期：</w:t>
      </w:r>
      <w:r>
        <w:rPr>
          <w:rFonts w:hint="eastAsia" w:ascii="宋体" w:hAnsi="宋体" w:cs="宋体"/>
          <w:bCs/>
          <w:color w:val="auto"/>
          <w:sz w:val="24"/>
          <w:szCs w:val="24"/>
          <w:highlight w:val="none"/>
        </w:rPr>
        <w:br w:type="page" w:clear="all"/>
      </w:r>
      <w:r/>
    </w:p>
    <w:p>
      <w:pPr>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（七）开标一览表（格式）：</w:t>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开标一览表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投标供应商名称（盖章）              </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采购项目编号：JSZC-320211-SXZT-G2026-0011</w:t>
      </w:r>
      <w:r>
        <w:rPr>
          <w:rFonts w:hint="eastAsia" w:ascii="宋体" w:hAnsi="宋体" w:cs="宋体"/>
          <w:color w:val="auto"/>
          <w:sz w:val="24"/>
          <w:szCs w:val="24"/>
          <w:highlight w:val="non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采购项目名称：</w:t>
      </w:r>
      <w:r>
        <w:rPr>
          <w:rFonts w:hint="eastAsia" w:ascii="宋体" w:hAnsi="宋体" w:cs="宋体"/>
          <w:color w:val="auto"/>
          <w:sz w:val="24"/>
          <w:highlight w:val="none"/>
        </w:rPr>
        <w:t xml:space="preserve">南京大学无锡滨湖大气前沿技术与高端装备创新研究院科技展厅布展项目 </w:t>
      </w:r>
      <w:r/>
    </w:p>
    <w:tbl>
      <w:tblPr>
        <w:tblStyle w:val="788"/>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7004"/>
      </w:tblGrid>
      <w:tr>
        <w:trPr>
          <w:cantSplit/>
          <w:jc w:val="center"/>
          <w:trHeight w:val="936"/>
        </w:trPr>
        <w:tc>
          <w:tcPr>
            <w:tcW w:w="2475" w:type="dxa"/>
            <w:vAlign w:val="center"/>
            <w:textDirection w:val="lrTb"/>
            <w:noWrap w:val="false"/>
          </w:tcPr>
          <w:p>
            <w:pPr>
              <w:jc w:val="center"/>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项目总报价</w:t>
            </w:r>
            <w:r/>
          </w:p>
          <w:p>
            <w:pPr>
              <w:jc w:val="center"/>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w:t>
            </w:r>
            <w:r/>
          </w:p>
        </w:tc>
        <w:tc>
          <w:tcPr>
            <w:tcW w:w="7004" w:type="dxa"/>
            <w:vAlign w:val="center"/>
            <w:textDirection w:val="lrTb"/>
            <w:noWrap w:val="false"/>
          </w:tcPr>
          <w:p>
            <w:pPr>
              <w:jc w:val="center"/>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center"/>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2475" w:type="dxa"/>
            <w:vAlign w:val="center"/>
            <w:textDirection w:val="lrTb"/>
            <w:noWrap w:val="false"/>
          </w:tcPr>
          <w:p>
            <w:pPr>
              <w:jc w:val="center"/>
              <w:spacing w:line="360" w:lineRule="auto"/>
              <w:widowControl/>
              <w:rPr>
                <w:color w:val="auto"/>
                <w:sz w:val="24"/>
                <w:szCs w:val="24"/>
                <w:highlight w:val="none"/>
              </w:rPr>
            </w:pPr>
            <w:r>
              <w:rPr>
                <w:rFonts w:hint="eastAsia"/>
                <w:color w:val="auto"/>
                <w:sz w:val="24"/>
                <w:szCs w:val="24"/>
                <w:highlight w:val="none"/>
              </w:rPr>
              <w:t xml:space="preserve">服务期</w:t>
            </w:r>
            <w:r/>
          </w:p>
        </w:tc>
        <w:tc>
          <w:tcPr>
            <w:tcW w:w="700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spacing w:line="360" w:lineRule="auto"/>
              <w:widowControl/>
              <w:rPr>
                <w:color w:val="auto"/>
                <w:sz w:val="24"/>
                <w:szCs w:val="24"/>
                <w:highlight w:val="none"/>
              </w:rPr>
            </w:pPr>
            <w:r>
              <w:rPr>
                <w:rFonts w:hint="eastAsia"/>
                <w:color w:val="auto"/>
                <w:sz w:val="24"/>
                <w:szCs w:val="24"/>
                <w:highlight w:val="none"/>
              </w:rPr>
              <w:t xml:space="preserve">质量要求</w:t>
            </w:r>
            <w:r/>
          </w:p>
        </w:tc>
        <w:tc>
          <w:tcPr>
            <w:tcW w:w="700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spacing w:line="360" w:lineRule="auto"/>
              <w:widowControl/>
              <w:rPr>
                <w:color w:val="auto"/>
                <w:sz w:val="24"/>
                <w:szCs w:val="24"/>
                <w:highlight w:val="none"/>
              </w:rPr>
            </w:pPr>
            <w:r>
              <w:rPr>
                <w:rFonts w:hint="eastAsia"/>
                <w:color w:val="auto"/>
                <w:sz w:val="24"/>
                <w:szCs w:val="24"/>
                <w:highlight w:val="none"/>
              </w:rPr>
              <w:t xml:space="preserve">项目负责人</w:t>
            </w:r>
            <w:r/>
          </w:p>
        </w:tc>
        <w:tc>
          <w:tcPr>
            <w:tcW w:w="700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cantSplit/>
          <w:jc w:val="center"/>
          <w:trHeight w:val="1409"/>
        </w:trPr>
        <w:tc>
          <w:tcPr>
            <w:tcW w:w="2475" w:type="dxa"/>
            <w:vAlign w:val="center"/>
            <w:textDirection w:val="lrTb"/>
            <w:noWrap w:val="false"/>
          </w:tcPr>
          <w:p>
            <w:pPr>
              <w:jc w:val="center"/>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是否属于小、微型企业/监狱企业/残疾人福利性单位</w:t>
            </w:r>
            <w:r/>
          </w:p>
        </w:tc>
        <w:tc>
          <w:tcPr>
            <w:tcW w:w="700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bl>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978"/>
        <w:jc w:val="both"/>
        <w:spacing w:line="360" w:lineRule="auto"/>
        <w:rPr>
          <w:rFonts w:hAnsi="宋体" w:cs="宋体"/>
          <w:color w:val="auto"/>
          <w:sz w:val="24"/>
          <w:szCs w:val="24"/>
          <w:highlight w:val="none"/>
        </w:rPr>
      </w:pPr>
      <w:r>
        <w:rPr>
          <w:rFonts w:hint="eastAsia" w:ascii="宋体" w:hAnsi="宋体" w:eastAsia="宋体" w:cs="宋体"/>
          <w:color w:val="auto"/>
          <w:sz w:val="24"/>
          <w:highlight w:val="none"/>
        </w:rPr>
        <w:t xml:space="preserve">年    月    日</w:t>
      </w:r>
      <w:r/>
    </w:p>
    <w:p>
      <w:pPr>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开标一览表中的内容应与投标函内容一致，否则评标时一律按开标一览表中内容为准，开标一览表中必须盖章和签字。</w:t>
      </w:r>
      <w:r/>
    </w:p>
    <w:p>
      <w:pPr>
        <w:ind w:left="720" w:hanging="720"/>
        <w:spacing w:line="400" w:lineRule="exact"/>
        <w:rPr>
          <w:rFonts w:hint="eastAsia" w:ascii="宋体" w:hAnsi="宋体" w:cs="宋体"/>
          <w:bCs/>
          <w:color w:val="auto"/>
          <w:sz w:val="24"/>
          <w:szCs w:val="24"/>
          <w:highlight w:val="none"/>
        </w:rPr>
      </w:pPr>
      <w:r>
        <w:rPr>
          <w:rFonts w:hint="eastAsia" w:ascii="宋体" w:hAnsi="宋体" w:cs="宋体"/>
          <w:color w:val="auto"/>
          <w:sz w:val="24"/>
          <w:highlight w:val="none"/>
        </w:rPr>
        <w:br w:type="page" w:clear="all"/>
      </w:r>
      <w:r/>
    </w:p>
    <w:p>
      <w:pPr>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（八）主要细目报价表（格式）：</w:t>
      </w:r>
      <w:r/>
    </w:p>
    <w:p>
      <w:pPr>
        <w:jc w:val="center"/>
        <w:spacing w:line="420" w:lineRule="exact"/>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报价明细表</w:t>
      </w:r>
      <w:r/>
    </w:p>
    <w:p>
      <w:pPr>
        <w:pStyle w:val="826"/>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26"/>
        <w:ind w:left="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项目名称：南京大学无锡滨湖大气前沿技术与高端装备创新研究院科技展厅布展项目</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投标供应商名称（盖章）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采购项目编号：JSZC-320211-SXZT-G2026-0011</w:t>
      </w:r>
      <w:r/>
    </w:p>
    <w:p>
      <w:pPr>
        <w:ind w:left="851" w:hanging="851"/>
        <w:spacing w:line="360" w:lineRule="auto"/>
        <w:rPr>
          <w:rFonts w:ascii="宋体"/>
          <w:bCs/>
          <w:color w:val="auto"/>
          <w:sz w:val="24"/>
          <w:highlight w:val="none"/>
          <w:u w:val="single"/>
        </w:rPr>
      </w:pPr>
      <w:r>
        <w:rPr>
          <w:rFonts w:hint="eastAsia" w:ascii="宋体"/>
          <w:bCs/>
          <w:color w:val="auto"/>
          <w:sz w:val="24"/>
          <w:highlight w:val="none"/>
        </w:rPr>
        <w:t xml:space="preserve">授</w:t>
      </w:r>
      <w:r>
        <w:rPr>
          <w:rFonts w:ascii="宋体"/>
          <w:bCs/>
          <w:color w:val="auto"/>
          <w:sz w:val="24"/>
          <w:highlight w:val="none"/>
        </w:rPr>
        <w:t xml:space="preserve"> </w:t>
      </w:r>
      <w:r>
        <w:rPr>
          <w:rFonts w:hint="eastAsia" w:ascii="宋体"/>
          <w:bCs/>
          <w:color w:val="auto"/>
          <w:sz w:val="24"/>
          <w:highlight w:val="none"/>
        </w:rPr>
        <w:t xml:space="preserve">权</w:t>
      </w:r>
      <w:r>
        <w:rPr>
          <w:rFonts w:ascii="宋体"/>
          <w:bCs/>
          <w:color w:val="auto"/>
          <w:sz w:val="24"/>
          <w:highlight w:val="none"/>
        </w:rPr>
        <w:t xml:space="preserve"> </w:t>
      </w:r>
      <w:r>
        <w:rPr>
          <w:rFonts w:hint="eastAsia" w:ascii="宋体"/>
          <w:bCs/>
          <w:color w:val="auto"/>
          <w:sz w:val="24"/>
          <w:highlight w:val="none"/>
        </w:rPr>
        <w:t xml:space="preserve">代</w:t>
      </w:r>
      <w:r>
        <w:rPr>
          <w:rFonts w:ascii="宋体"/>
          <w:bCs/>
          <w:color w:val="auto"/>
          <w:sz w:val="24"/>
          <w:highlight w:val="none"/>
        </w:rPr>
        <w:t xml:space="preserve"> </w:t>
      </w:r>
      <w:r>
        <w:rPr>
          <w:rFonts w:hint="eastAsia" w:ascii="宋体"/>
          <w:bCs/>
          <w:color w:val="auto"/>
          <w:sz w:val="24"/>
          <w:highlight w:val="none"/>
        </w:rPr>
        <w:t xml:space="preserve">表（签字）：</w:t>
      </w:r>
      <w:r>
        <w:rPr>
          <w:rFonts w:ascii="宋体"/>
          <w:bCs/>
          <w:color w:val="auto"/>
          <w:sz w:val="24"/>
          <w:highlight w:val="none"/>
          <w:u w:val="single"/>
        </w:rPr>
        <w:t xml:space="preserve">                      </w:t>
      </w:r>
      <w:r/>
    </w:p>
    <w:p>
      <w:pPr>
        <w:pStyle w:val="826"/>
        <w:rPr>
          <w:color w:val="auto"/>
          <w:highlight w:val="none"/>
        </w:rPr>
      </w:pPr>
      <w:r>
        <w:rPr>
          <w:color w:val="auto"/>
          <w:highlight w:val="none"/>
        </w:rPr>
      </w:r>
      <w:r/>
    </w:p>
    <w:p>
      <w:pPr>
        <w:spacing w:line="360" w:lineRule="auto"/>
        <w:rPr>
          <w:rFonts w:hint="eastAsia" w:hAnsi="宋体"/>
          <w:bCs/>
          <w:color w:val="auto"/>
          <w:sz w:val="24"/>
          <w:highlight w:val="none"/>
        </w:rPr>
        <w:outlineLvl w:val="0"/>
      </w:pPr>
      <w:r>
        <w:rPr>
          <w:rFonts w:hint="eastAsia" w:hAnsi="宋体"/>
          <w:bCs/>
          <w:color w:val="auto"/>
          <w:sz w:val="24"/>
          <w:highlight w:val="none"/>
        </w:rPr>
        <w:t xml:space="preserve">投标人根据项目实际情况填写</w:t>
      </w:r>
      <w:r/>
    </w:p>
    <w:p>
      <w:pPr>
        <w:rPr>
          <w:rFonts w:hint="eastAsia" w:hAnsi="宋体"/>
          <w:b/>
          <w:color w:val="auto"/>
          <w:sz w:val="24"/>
          <w:highlight w:val="none"/>
        </w:rPr>
      </w:pPr>
      <w:r>
        <w:rPr>
          <w:rFonts w:hint="eastAsia" w:hAnsi="宋体"/>
          <w:b/>
          <w:color w:val="auto"/>
          <w:sz w:val="24"/>
          <w:highlight w:val="none"/>
        </w:rPr>
        <w:br w:type="page" w:clear="all"/>
      </w:r>
      <w:r/>
    </w:p>
    <w:p>
      <w:pPr>
        <w:spacing w:line="360" w:lineRule="auto"/>
        <w:rPr>
          <w:rFonts w:hint="eastAsia" w:hAnsi="宋体" w:cs="宋体"/>
          <w:color w:val="auto"/>
          <w:szCs w:val="16"/>
          <w:highlight w:val="none"/>
          <w:lang w:val="zh-CN"/>
        </w:rPr>
        <w:outlineLvl w:val="0"/>
      </w:pPr>
      <w:r>
        <w:rPr>
          <w:rFonts w:hint="eastAsia" w:hAnsi="宋体"/>
          <w:b/>
          <w:color w:val="auto"/>
          <w:szCs w:val="16"/>
          <w:highlight w:val="none"/>
        </w:rPr>
        <w:t xml:space="preserve">注：</w:t>
      </w:r>
      <w:r>
        <w:rPr>
          <w:rFonts w:hint="eastAsia" w:hAnsi="宋体"/>
          <w:bCs/>
          <w:color w:val="auto"/>
          <w:szCs w:val="16"/>
          <w:highlight w:val="none"/>
        </w:rPr>
        <w:t xml:space="preserve">（1）</w:t>
      </w:r>
      <w:r>
        <w:rPr>
          <w:rFonts w:hint="eastAsia" w:hAnsi="宋体" w:cs="宋体"/>
          <w:color w:val="auto"/>
          <w:szCs w:val="16"/>
          <w:highlight w:val="none"/>
          <w:lang w:val="zh-CN"/>
        </w:rPr>
        <w:t xml:space="preserve">投标供应商</w:t>
      </w:r>
      <w:r>
        <w:rPr>
          <w:rFonts w:hint="eastAsia" w:hAnsi="宋体" w:cs="宋体"/>
          <w:color w:val="auto"/>
          <w:szCs w:val="16"/>
          <w:highlight w:val="none"/>
          <w:lang w:val="zh-CN"/>
        </w:rPr>
        <w:t xml:space="preserve">如为“小微企业”，必须提供投标人《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人对所报相关数据的真实性负责，江苏信中天工程咨询有限公司有权将相关内容进行公示；</w:t>
      </w:r>
      <w:r/>
    </w:p>
    <w:p>
      <w:pPr>
        <w:spacing w:line="360" w:lineRule="auto"/>
        <w:rPr>
          <w:rFonts w:hint="eastAsia" w:hAnsi="宋体" w:cs="宋体"/>
          <w:color w:val="auto"/>
          <w:szCs w:val="16"/>
          <w:highlight w:val="none"/>
          <w:lang w:val="zh-CN"/>
        </w:rPr>
        <w:outlineLvl w:val="0"/>
      </w:pPr>
      <w:r>
        <w:rPr>
          <w:rFonts w:hint="eastAsia" w:hAnsi="宋体" w:cs="宋体"/>
          <w:color w:val="auto"/>
          <w:szCs w:val="16"/>
          <w:highlight w:val="none"/>
          <w:lang w:val="zh-CN"/>
        </w:rPr>
        <w:t xml:space="preserve">（2）报价人应当根据“项目技术要求和有关说明”的内容在上表中详细填写，包含但不限于以上内容，请各供应商自行补充完善；</w:t>
      </w:r>
      <w:r/>
    </w:p>
    <w:p>
      <w:pPr>
        <w:spacing w:line="360" w:lineRule="auto"/>
        <w:rPr>
          <w:rFonts w:hint="eastAsia" w:hAnsi="宋体" w:cs="宋体"/>
          <w:color w:val="auto"/>
          <w:szCs w:val="16"/>
          <w:highlight w:val="none"/>
          <w:lang w:val="zh-CN"/>
        </w:rPr>
        <w:outlineLvl w:val="0"/>
      </w:pPr>
      <w:r>
        <w:rPr>
          <w:rFonts w:hint="eastAsia" w:hAnsi="宋体" w:cs="宋体"/>
          <w:color w:val="auto"/>
          <w:szCs w:val="16"/>
          <w:highlight w:val="none"/>
          <w:lang w:val="zh-CN"/>
        </w:rPr>
        <w:t xml:space="preserve">（3）表格不够可自行延长；</w:t>
      </w:r>
      <w:r/>
    </w:p>
    <w:p>
      <w:pPr>
        <w:spacing w:line="360" w:lineRule="auto"/>
        <w:rPr>
          <w:rFonts w:hint="eastAsia" w:hAnsi="宋体" w:cs="宋体"/>
          <w:color w:val="auto"/>
          <w:szCs w:val="16"/>
          <w:highlight w:val="none"/>
          <w:lang w:val="zh-CN"/>
        </w:rPr>
        <w:outlineLvl w:val="0"/>
      </w:pPr>
      <w:r>
        <w:rPr>
          <w:rFonts w:hint="eastAsia" w:hAnsi="宋体" w:cs="宋体"/>
          <w:color w:val="auto"/>
          <w:szCs w:val="16"/>
          <w:highlight w:val="none"/>
          <w:lang w:val="zh-CN"/>
        </w:rPr>
        <w:t xml:space="preserve">（4）本表所填内容和附件中列表</w:t>
      </w:r>
      <w:r>
        <w:rPr>
          <w:rFonts w:hint="eastAsia" w:hAnsi="宋体" w:cs="宋体"/>
          <w:color w:val="auto"/>
          <w:szCs w:val="16"/>
          <w:highlight w:val="none"/>
        </w:rPr>
        <w:t xml:space="preserve">内容</w:t>
      </w:r>
      <w:r>
        <w:rPr>
          <w:rFonts w:hint="eastAsia" w:hAnsi="宋体" w:cs="宋体"/>
          <w:color w:val="auto"/>
          <w:szCs w:val="16"/>
          <w:highlight w:val="none"/>
          <w:lang w:val="zh-CN"/>
        </w:rPr>
        <w:t xml:space="preserve">并不冲突，请供应商认真填写本表及附件列</w:t>
      </w:r>
      <w:r/>
    </w:p>
    <w:p>
      <w:pPr>
        <w:spacing w:line="360" w:lineRule="auto"/>
        <w:rPr>
          <w:rFonts w:hint="eastAsia" w:hAnsi="宋体" w:cs="宋体"/>
          <w:color w:val="auto"/>
          <w:szCs w:val="16"/>
          <w:highlight w:val="none"/>
          <w:lang w:val="zh-CN"/>
        </w:rPr>
        <w:outlineLvl w:val="0"/>
      </w:pPr>
      <w:r>
        <w:rPr>
          <w:rFonts w:hint="eastAsia" w:hAnsi="宋体" w:cs="宋体"/>
          <w:color w:val="auto"/>
          <w:szCs w:val="16"/>
          <w:highlight w:val="none"/>
          <w:lang w:val="zh-CN"/>
        </w:rPr>
        <w:t xml:space="preserve">（5）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spacing w:line="360" w:lineRule="auto"/>
        <w:rPr>
          <w:rFonts w:hint="eastAsia" w:hAnsi="宋体" w:cs="宋体"/>
          <w:color w:val="auto"/>
          <w:szCs w:val="16"/>
          <w:highlight w:val="none"/>
          <w:lang w:val="zh-CN"/>
        </w:rPr>
        <w:outlineLvl w:val="0"/>
      </w:pPr>
      <w:r>
        <w:rPr>
          <w:rFonts w:hint="eastAsia" w:hAnsi="宋体" w:cs="宋体"/>
          <w:color w:val="auto"/>
          <w:szCs w:val="16"/>
          <w:highlight w:val="none"/>
          <w:lang w:val="zh-CN"/>
        </w:rPr>
        <w:t xml:space="preserve">（</w:t>
      </w:r>
      <w:r>
        <w:rPr>
          <w:rFonts w:hint="eastAsia" w:hAnsi="宋体" w:cs="宋体"/>
          <w:color w:val="auto"/>
          <w:szCs w:val="16"/>
          <w:highlight w:val="none"/>
        </w:rPr>
        <w:t xml:space="preserve">6</w:t>
      </w:r>
      <w:r>
        <w:rPr>
          <w:rFonts w:hint="eastAsia" w:hAnsi="宋体" w:cs="宋体"/>
          <w:color w:val="auto"/>
          <w:szCs w:val="16"/>
          <w:highlight w:val="none"/>
          <w:lang w:val="zh-CN"/>
        </w:rPr>
        <w:t xml:space="preserve">）</w:t>
      </w:r>
      <w:r>
        <w:rPr>
          <w:rFonts w:hint="eastAsia" w:hAnsi="宋体" w:cs="宋体"/>
          <w:color w:val="auto"/>
          <w:szCs w:val="16"/>
          <w:highlight w:val="none"/>
          <w:lang w:val="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r/>
    </w:p>
    <w:p>
      <w:pPr>
        <w:spacing w:line="360" w:lineRule="auto"/>
        <w:rPr>
          <w:rFonts w:hint="eastAsia" w:hAnsi="宋体" w:cs="宋体"/>
          <w:color w:val="auto"/>
          <w:szCs w:val="16"/>
          <w:highlight w:val="none"/>
          <w:lang w:val="zh-CN"/>
        </w:rPr>
        <w:outlineLvl w:val="0"/>
      </w:pPr>
      <w:r>
        <w:rPr>
          <w:rFonts w:hint="eastAsia" w:hAnsi="宋体" w:cs="宋体"/>
          <w:color w:val="auto"/>
          <w:szCs w:val="16"/>
          <w:highlight w:val="none"/>
          <w:lang w:val="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rPr>
          <w:rFonts w:hint="eastAsia" w:ascii="宋体" w:hAnsi="宋体" w:cs="宋体"/>
          <w:b/>
          <w:color w:val="auto"/>
          <w:sz w:val="32"/>
          <w:szCs w:val="32"/>
          <w:highlight w:val="none"/>
        </w:rPr>
        <w:outlineLvl w:val="2"/>
      </w:pPr>
      <w:r>
        <w:rPr>
          <w:rFonts w:ascii="黑体" w:hAnsi="宋体" w:eastAsia="黑体"/>
          <w:bCs/>
          <w:color w:val="auto"/>
          <w:sz w:val="24"/>
          <w:highlight w:val="none"/>
        </w:rPr>
        <w:br w:type="page" w:clear="all"/>
      </w:r>
      <w:r>
        <w:rPr>
          <w:rFonts w:hint="eastAsia" w:ascii="宋体" w:hAnsi="宋体" w:cs="宋体"/>
          <w:b/>
          <w:color w:val="auto"/>
          <w:sz w:val="32"/>
          <w:szCs w:val="32"/>
          <w:highlight w:val="none"/>
        </w:rPr>
        <w:t xml:space="preserve">（九）投标偏离表（格式）：</w:t>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投标偏离表</w:t>
      </w:r>
      <w:r/>
    </w:p>
    <w:p>
      <w:pPr>
        <w:jc w:val="center"/>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投标供应商名称（盖章）              采购项目编号：JSZC-320211-SXZT-G2026-0011</w:t>
      </w:r>
      <w:r/>
    </w:p>
    <w:tbl>
      <w:tblPr>
        <w:tblStyle w:val="788"/>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bl>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法定代表人或法定代表人授权代表签字或盖章：</w:t>
      </w:r>
      <w:r/>
    </w:p>
    <w:p>
      <w:pPr>
        <w:rPr>
          <w:rFonts w:hint="eastAsia" w:ascii="宋体" w:hAnsi="宋体" w:cs="宋体"/>
          <w:bCs/>
          <w:color w:val="auto"/>
          <w:sz w:val="30"/>
          <w:highlight w:val="none"/>
        </w:rPr>
      </w:pPr>
      <w:r>
        <w:rPr>
          <w:rFonts w:hint="eastAsia" w:ascii="宋体" w:hAnsi="宋体" w:cs="宋体"/>
          <w:bCs/>
          <w:color w:val="auto"/>
          <w:sz w:val="30"/>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注：（1）本表不得删除；</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（2）如无任何服务偏离，请于本表 “偏离说明”中注明“无偏离”；</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（3）如有服务偏离项，请于本表中列明偏离内容，如需要可自行延长，其余无偏离内容</w:t>
      </w:r>
      <w:r>
        <w:rPr>
          <w:rFonts w:hint="eastAsia" w:ascii="宋体" w:hAnsi="宋体" w:cs="宋体"/>
          <w:bCs/>
          <w:color w:val="auto"/>
          <w:sz w:val="24"/>
          <w:szCs w:val="24"/>
          <w:highlight w:val="none"/>
          <w:lang w:eastAsia="zh-CN"/>
        </w:rPr>
        <w:t xml:space="preserve">无需</w:t>
      </w:r>
      <w:r>
        <w:rPr>
          <w:rFonts w:hint="eastAsia" w:ascii="宋体" w:hAnsi="宋体" w:cs="宋体"/>
          <w:bCs/>
          <w:color w:val="auto"/>
          <w:sz w:val="24"/>
          <w:szCs w:val="24"/>
          <w:highlight w:val="none"/>
        </w:rPr>
        <w:t xml:space="preserve">赘述。</w:t>
      </w:r>
      <w:r/>
    </w:p>
    <w:p>
      <w:pPr>
        <w:pStyle w:val="997"/>
        <w:ind w:left="1260"/>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00" w:lineRule="exact"/>
        <w:rPr>
          <w:rFonts w:hint="eastAsia" w:ascii="宋体" w:hAnsi="宋体" w:cs="宋体"/>
          <w:b/>
          <w:color w:val="auto"/>
          <w:sz w:val="32"/>
          <w:szCs w:val="32"/>
          <w:highlight w:val="none"/>
        </w:rPr>
        <w:outlineLvl w:val="2"/>
      </w:pPr>
      <w:r>
        <w:rPr>
          <w:rFonts w:hint="eastAsia" w:ascii="宋体" w:hAnsi="宋体" w:cs="宋体"/>
          <w:bCs/>
          <w:color w:val="auto"/>
          <w:sz w:val="24"/>
          <w:szCs w:val="24"/>
          <w:highlight w:val="none"/>
        </w:rPr>
        <w:br w:type="page" w:clear="all"/>
      </w:r>
      <w:r>
        <w:rPr>
          <w:rFonts w:hint="eastAsia" w:ascii="宋体" w:hAnsi="宋体" w:cs="宋体"/>
          <w:b/>
          <w:color w:val="auto"/>
          <w:sz w:val="32"/>
          <w:szCs w:val="32"/>
          <w:highlight w:val="none"/>
        </w:rPr>
        <w:t xml:space="preserve">（十）供应商简介和经营情况说明（格式）</w:t>
      </w:r>
      <w:r/>
    </w:p>
    <w:p>
      <w:pPr>
        <w:pStyle w:val="987"/>
        <w:ind w:firstLine="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供应商情况表</w:t>
      </w:r>
      <w:r/>
    </w:p>
    <w:p>
      <w:pPr>
        <w:pStyle w:val="79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单位名称（盖章）</w:t>
      </w:r>
      <w:r/>
    </w:p>
    <w:tbl>
      <w:tblPr>
        <w:tblStyle w:val="788"/>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textDirection w:val="lrTb"/>
            <w:noWrap w:val="false"/>
          </w:tcPr>
          <w:p>
            <w:pPr>
              <w:pStyle w:val="792"/>
              <w:ind w:firstLine="8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其中：</w:t>
            </w:r>
            <w:r/>
          </w:p>
          <w:p>
            <w:pPr>
              <w:pStyle w:val="792"/>
              <w:ind w:left="959" w:hanging="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中级职称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人数、</w:t>
            </w:r>
            <w:r/>
          </w:p>
          <w:p>
            <w:pPr>
              <w:pStyle w:val="792"/>
              <w:ind w:left="959" w:hanging="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高级职称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textDirection w:val="lrTb"/>
            <w:noWrap w:val="false"/>
          </w:tcPr>
          <w:p>
            <w:pPr>
              <w:pStyle w:val="79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2025年12月资产总额</w:t>
            </w:r>
            <w:r/>
          </w:p>
        </w:tc>
        <w:tc>
          <w:tcPr>
            <w:tcBorders>
              <w:top w:val="single" w:color="auto" w:sz="6" w:space="0"/>
              <w:left w:val="single" w:color="auto" w:sz="6" w:space="0"/>
              <w:bottom w:val="single" w:color="auto" w:sz="6" w:space="0"/>
              <w:right w:val="single" w:color="auto" w:sz="6" w:space="0"/>
            </w:tcBorders>
            <w:tcW w:w="2283"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79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textDirection w:val="lrTb"/>
            <w:noWrap w:val="false"/>
          </w:tcPr>
          <w:p>
            <w:pPr>
              <w:pStyle w:val="79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2025年12月股东权益</w:t>
            </w:r>
            <w:r/>
          </w:p>
        </w:tc>
        <w:tc>
          <w:tcPr>
            <w:tcBorders>
              <w:top w:val="single" w:color="auto" w:sz="6" w:space="0"/>
              <w:left w:val="single" w:color="auto" w:sz="6" w:space="0"/>
              <w:bottom w:val="single" w:color="auto" w:sz="6" w:space="0"/>
              <w:right w:val="single" w:color="auto" w:sz="6" w:space="0"/>
            </w:tcBorders>
            <w:tcW w:w="2283"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79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2025年业务收入</w:t>
            </w:r>
            <w:r/>
          </w:p>
        </w:tc>
        <w:tc>
          <w:tcPr>
            <w:tcBorders>
              <w:top w:val="single" w:color="auto" w:sz="6" w:space="0"/>
              <w:left w:val="single" w:color="auto" w:sz="6" w:space="0"/>
              <w:bottom w:val="single" w:color="auto" w:sz="6" w:space="0"/>
              <w:right w:val="single" w:color="auto" w:sz="6" w:space="0"/>
            </w:tcBorders>
            <w:tcW w:w="2667"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textDirection w:val="lrTb"/>
            <w:noWrap w:val="false"/>
          </w:tcPr>
          <w:p>
            <w:pPr>
              <w:pStyle w:val="79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2025年实现利润</w:t>
            </w:r>
            <w:r/>
          </w:p>
        </w:tc>
        <w:tc>
          <w:tcPr>
            <w:tcBorders>
              <w:top w:val="single" w:color="auto" w:sz="6" w:space="0"/>
              <w:left w:val="single" w:color="auto" w:sz="6" w:space="0"/>
              <w:bottom w:val="single" w:color="auto" w:sz="6" w:space="0"/>
              <w:right w:val="single" w:color="auto" w:sz="6" w:space="0"/>
            </w:tcBorders>
            <w:tcW w:w="2283" w:type="dxa"/>
            <w:textDirection w:val="lrTb"/>
            <w:noWrap w:val="false"/>
          </w:tcPr>
          <w:p>
            <w:pPr>
              <w:pStyle w:val="792"/>
              <w:ind w:firstLine="13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办公面积</w:t>
            </w:r>
            <w:r/>
          </w:p>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textDirection w:val="lrTb"/>
            <w:noWrap w:val="false"/>
          </w:tcPr>
          <w:p>
            <w:pPr>
              <w:pStyle w:val="79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自有面积    平方米</w:t>
            </w:r>
            <w:r/>
          </w:p>
          <w:p>
            <w:pPr>
              <w:pStyle w:val="79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textDirection w:val="lrTb"/>
            <w:noWrap w:val="false"/>
          </w:tcPr>
          <w:p>
            <w:pPr>
              <w:pStyle w:val="79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textDirection w:val="lrTb"/>
            <w:noWrap w:val="false"/>
          </w:tcPr>
          <w:p>
            <w:pPr>
              <w:pStyle w:val="79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textDirection w:val="lrTb"/>
            <w:noWrap w:val="false"/>
          </w:tcPr>
          <w:p>
            <w:pPr>
              <w:pStyle w:val="79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textDirection w:val="lrTb"/>
            <w:noWrap w:val="false"/>
          </w:tcPr>
          <w:p>
            <w:pPr>
              <w:pStyle w:val="792"/>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textDirection w:val="lrTb"/>
            <w:noWrap w:val="false"/>
          </w:tcPr>
          <w:p>
            <w:pPr>
              <w:pStyle w:val="79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57"/>
        </w:trPr>
        <w:tc>
          <w:tcPr>
            <w:gridSpan w:val="2"/>
            <w:tcBorders>
              <w:top w:val="single" w:color="auto" w:sz="6" w:space="0"/>
              <w:left w:val="single" w:color="auto" w:sz="6" w:space="0"/>
              <w:bottom w:val="single" w:color="auto" w:sz="6" w:space="0"/>
              <w:right w:val="single" w:color="auto" w:sz="6" w:space="0"/>
            </w:tcBorders>
            <w:tcW w:w="4895" w:type="dxa"/>
            <w:textDirection w:val="lrTb"/>
            <w:noWrap w:val="false"/>
          </w:tcPr>
          <w:p>
            <w:pPr>
              <w:pStyle w:val="79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最近3年内有无因违纪或其他原因被投诉或起诉的情况及说明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textDirection w:val="lrTb"/>
            <w:noWrap w:val="false"/>
          </w:tcPr>
          <w:p>
            <w:pPr>
              <w:pStyle w:val="79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textDirection w:val="lrTb"/>
            <w:noWrap w:val="false"/>
          </w:tcPr>
          <w:p>
            <w:pPr>
              <w:pStyle w:val="79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textDirection w:val="lrTb"/>
            <w:noWrap w:val="false"/>
          </w:tcPr>
          <w:p>
            <w:pPr>
              <w:pStyle w:val="79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textDirection w:val="lrTb"/>
            <w:noWrap w:val="false"/>
          </w:tcPr>
          <w:p>
            <w:pPr>
              <w:pStyle w:val="79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投标供应商（盖章）：</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法定代表人或法定代表人授权代表签字或盖章：</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w:t>
      </w:r>
      <w:r/>
    </w:p>
    <w:p>
      <w:pPr>
        <w:spacing w:line="440" w:lineRule="exact"/>
        <w:rPr>
          <w:rFonts w:hint="eastAsia" w:ascii="宋体" w:hAnsi="宋体" w:cs="宋体"/>
          <w:b/>
          <w:bCs/>
          <w:color w:val="auto"/>
          <w:highlight w:val="none"/>
        </w:rPr>
      </w:pPr>
      <w:r>
        <w:rPr>
          <w:rFonts w:hint="eastAsia" w:ascii="宋体" w:hAnsi="宋体" w:cs="宋体"/>
          <w:b/>
          <w:bCs/>
          <w:color w:val="auto"/>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（十一）价格折扣文件</w:t>
      </w:r>
      <w:r/>
    </w:p>
    <w:p>
      <w:pPr>
        <w:pStyle w:val="78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企业报价折扣证明</w:t>
      </w:r>
      <w:r/>
    </w:p>
    <w:tbl>
      <w:tblPr>
        <w:tblStyle w:val="819"/>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jc w:val="center"/>
          <w:trHeight w:val="1077"/>
        </w:trPr>
        <w:tc>
          <w:tcPr>
            <w:tcW w:w="74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640"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企业性质</w:t>
            </w:r>
            <w:r/>
          </w:p>
        </w:tc>
        <w:tc>
          <w:tcPr>
            <w:tcW w:w="2585"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服务承接商类别</w:t>
            </w:r>
            <w:r/>
          </w:p>
        </w:tc>
        <w:tc>
          <w:tcPr>
            <w:tcW w:w="5226"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投标文件中需要提供的相关证明材料</w:t>
            </w:r>
            <w:r/>
          </w:p>
        </w:tc>
      </w:tr>
      <w:tr>
        <w:trPr>
          <w:jc w:val="center"/>
          <w:trHeight w:val="1272"/>
        </w:trPr>
        <w:tc>
          <w:tcPr>
            <w:tcW w:w="7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64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中小微型企业</w:t>
            </w:r>
            <w:r/>
          </w:p>
        </w:tc>
        <w:tc>
          <w:tcPr>
            <w:tcW w:w="25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服务的承接商为中小微企业</w:t>
            </w:r>
            <w:r/>
          </w:p>
        </w:tc>
        <w:tc>
          <w:tcPr>
            <w:tcW w:w="522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《中小企业声明函》（格式见附件1）</w:t>
            </w:r>
            <w:r/>
          </w:p>
        </w:tc>
      </w:tr>
      <w:tr>
        <w:trPr>
          <w:jc w:val="center"/>
          <w:trHeight w:val="1272"/>
        </w:trPr>
        <w:tc>
          <w:tcPr>
            <w:tcW w:w="7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64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残疾人福利性单位</w:t>
            </w:r>
            <w:r/>
          </w:p>
        </w:tc>
        <w:tc>
          <w:tcPr>
            <w:tcW w:w="25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服务的承接商为残疾人福利性单位</w:t>
            </w:r>
            <w:r/>
          </w:p>
        </w:tc>
        <w:tc>
          <w:tcPr>
            <w:tcW w:w="522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《残疾人福利性单位声明函》（格式见附件2）</w:t>
            </w:r>
            <w:r/>
          </w:p>
        </w:tc>
      </w:tr>
      <w:tr>
        <w:trPr>
          <w:jc w:val="center"/>
          <w:trHeight w:val="1915"/>
        </w:trPr>
        <w:tc>
          <w:tcPr>
            <w:tcW w:w="7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64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监狱企业</w:t>
            </w:r>
            <w:r/>
          </w:p>
        </w:tc>
        <w:tc>
          <w:tcPr>
            <w:tcW w:w="25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服务的承接商为监狱企业</w:t>
            </w:r>
            <w:r/>
          </w:p>
        </w:tc>
        <w:tc>
          <w:tcPr>
            <w:tcW w:w="522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省级以上监狱管理局、戒毒管理局（含新疆生产建设兵团）出具的属于监狱企业的证明文件</w:t>
            </w:r>
            <w:r/>
          </w:p>
        </w:tc>
      </w:tr>
    </w:tbl>
    <w:p>
      <w:pPr>
        <w:rPr>
          <w:color w:val="auto"/>
          <w:highlight w:val="none"/>
        </w:rPr>
      </w:pPr>
      <w:r>
        <w:rPr>
          <w:color w:val="auto"/>
          <w:highlight w:val="none"/>
        </w:rPr>
      </w:r>
      <w:r/>
    </w:p>
    <w:p>
      <w:pPr>
        <w:pStyle w:val="78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ageBreakBefore/>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附件1：中小企业声明函（格式）：</w:t>
      </w:r>
      <w:r/>
    </w:p>
    <w:p>
      <w:pPr>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r>
      <w:r/>
    </w:p>
    <w:p>
      <w:pPr>
        <w:jc w:val="center"/>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中小企业声明函（服务）</w:t>
      </w:r>
      <w:r/>
    </w:p>
    <w:p>
      <w:pPr>
        <w:ind w:firstLine="56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本公司（联合体）郑重声明，根据《政府采购促进中小企业发展管理办法》（财库﹝2020﹞46 号）的规定，本公司（联合体）参加</w:t>
      </w:r>
      <w:r>
        <w:rPr>
          <w:rFonts w:hint="eastAsia" w:ascii="宋体" w:hAnsi="宋体" w:cs="宋体"/>
          <w:i/>
          <w:color w:val="auto"/>
          <w:sz w:val="24"/>
          <w:szCs w:val="24"/>
          <w:highlight w:val="none"/>
          <w:u w:val="single"/>
          <w:lang w:bidi="ar"/>
        </w:rPr>
        <w:t xml:space="preserve">（</w:t>
      </w:r>
      <w:r>
        <w:rPr>
          <w:rFonts w:hint="eastAsia" w:ascii="宋体" w:hAnsi="宋体" w:cs="宋体"/>
          <w:color w:val="auto"/>
          <w:sz w:val="24"/>
          <w:szCs w:val="24"/>
          <w:highlight w:val="none"/>
          <w:u w:val="single"/>
          <w:lang w:bidi="ar"/>
        </w:rPr>
        <w:t xml:space="preserve">单位名称）</w:t>
      </w:r>
      <w:r>
        <w:rPr>
          <w:rFonts w:hint="eastAsia" w:ascii="宋体" w:hAnsi="宋体" w:cs="宋体"/>
          <w:color w:val="auto"/>
          <w:sz w:val="24"/>
          <w:szCs w:val="24"/>
          <w:highlight w:val="none"/>
          <w:lang w:bidi="ar"/>
        </w:rPr>
        <w:t xml:space="preserve">的</w:t>
      </w:r>
      <w:r>
        <w:rPr>
          <w:rFonts w:hint="eastAsia" w:ascii="宋体" w:hAnsi="宋体" w:cs="宋体"/>
          <w:color w:val="auto"/>
          <w:sz w:val="24"/>
          <w:szCs w:val="24"/>
          <w:highlight w:val="none"/>
          <w:u w:val="single"/>
          <w:lang w:bidi="ar"/>
        </w:rPr>
        <w:t xml:space="preserve">（项目名称）</w:t>
      </w:r>
      <w:r>
        <w:rPr>
          <w:rFonts w:hint="eastAsia" w:ascii="宋体" w:hAnsi="宋体" w:cs="宋体"/>
          <w:color w:val="auto"/>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u w:val="single"/>
          <w:lang w:bidi="ar"/>
        </w:rPr>
        <w:t xml:space="preserve"> （标的名称） </w:t>
      </w:r>
      <w:r>
        <w:rPr>
          <w:rFonts w:hint="eastAsia" w:ascii="宋体" w:hAnsi="宋体" w:cs="宋体"/>
          <w:color w:val="auto"/>
          <w:sz w:val="24"/>
          <w:szCs w:val="24"/>
          <w:highlight w:val="none"/>
          <w:lang w:bidi="ar"/>
        </w:rPr>
        <w:t xml:space="preserve">，属于</w:t>
      </w:r>
      <w:r>
        <w:rPr>
          <w:rFonts w:hint="eastAsia" w:ascii="宋体" w:hAnsi="宋体" w:cs="宋体"/>
          <w:color w:val="auto"/>
          <w:sz w:val="24"/>
          <w:szCs w:val="24"/>
          <w:highlight w:val="none"/>
          <w:u w:val="single"/>
          <w:lang w:bidi="ar"/>
        </w:rPr>
        <w:t xml:space="preserve">（采购文件中明确的所属行业）</w:t>
      </w:r>
      <w:r>
        <w:rPr>
          <w:rFonts w:hint="eastAsia" w:ascii="宋体" w:hAnsi="宋体" w:cs="宋体"/>
          <w:color w:val="auto"/>
          <w:sz w:val="24"/>
          <w:szCs w:val="24"/>
          <w:highlight w:val="none"/>
          <w:lang w:bidi="ar"/>
        </w:rPr>
        <w:t xml:space="preserve">行业；承建（承接）企业为</w:t>
      </w:r>
      <w:r>
        <w:rPr>
          <w:rFonts w:hint="eastAsia" w:ascii="宋体" w:hAnsi="宋体" w:cs="宋体"/>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万元，属于</w:t>
      </w:r>
      <w:r>
        <w:rPr>
          <w:rFonts w:hint="eastAsia" w:ascii="宋体" w:hAnsi="宋体" w:cs="宋体"/>
          <w:color w:val="auto"/>
          <w:sz w:val="24"/>
          <w:szCs w:val="24"/>
          <w:highlight w:val="none"/>
          <w:u w:val="single"/>
          <w:lang w:bidi="ar"/>
        </w:rPr>
        <w:t xml:space="preserve">（中型企业、小型企业、微型企业）</w:t>
      </w:r>
      <w:r>
        <w:rPr>
          <w:rFonts w:hint="eastAsia" w:ascii="宋体" w:hAnsi="宋体" w:cs="宋体"/>
          <w:color w:val="auto"/>
          <w:sz w:val="24"/>
          <w:szCs w:val="24"/>
          <w:highlight w:val="none"/>
          <w:lang w:bidi="ar"/>
        </w:rPr>
        <w:t xml:space="preserve">； </w:t>
      </w:r>
      <w:r/>
    </w:p>
    <w:p>
      <w:pPr>
        <w:ind w:firstLine="56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 </w:t>
      </w:r>
      <w:r>
        <w:rPr>
          <w:rFonts w:hint="eastAsia" w:ascii="宋体" w:hAnsi="宋体" w:cs="宋体"/>
          <w:color w:val="auto"/>
          <w:sz w:val="24"/>
          <w:szCs w:val="24"/>
          <w:highlight w:val="none"/>
          <w:u w:val="single"/>
          <w:lang w:bidi="ar"/>
        </w:rPr>
        <w:t xml:space="preserve"> （标的名称） </w:t>
      </w:r>
      <w:r>
        <w:rPr>
          <w:rFonts w:hint="eastAsia" w:ascii="宋体" w:hAnsi="宋体" w:cs="宋体"/>
          <w:color w:val="auto"/>
          <w:sz w:val="24"/>
          <w:szCs w:val="24"/>
          <w:highlight w:val="none"/>
          <w:lang w:bidi="ar"/>
        </w:rPr>
        <w:t xml:space="preserve">，属于</w:t>
      </w:r>
      <w:r>
        <w:rPr>
          <w:rFonts w:hint="eastAsia" w:ascii="宋体" w:hAnsi="宋体" w:cs="宋体"/>
          <w:color w:val="auto"/>
          <w:sz w:val="24"/>
          <w:szCs w:val="24"/>
          <w:highlight w:val="none"/>
          <w:u w:val="single"/>
          <w:lang w:bidi="ar"/>
        </w:rPr>
        <w:t xml:space="preserve">（采购文件中明确的所属行业）</w:t>
      </w:r>
      <w:r>
        <w:rPr>
          <w:rFonts w:hint="eastAsia" w:ascii="宋体" w:hAnsi="宋体" w:cs="宋体"/>
          <w:color w:val="auto"/>
          <w:sz w:val="24"/>
          <w:szCs w:val="24"/>
          <w:highlight w:val="none"/>
          <w:lang w:bidi="ar"/>
        </w:rPr>
        <w:t xml:space="preserve">行业；承建（承接）企业为</w:t>
      </w:r>
      <w:r>
        <w:rPr>
          <w:rFonts w:hint="eastAsia" w:ascii="宋体" w:hAnsi="宋体" w:cs="宋体"/>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万元，属于</w:t>
      </w:r>
      <w:r>
        <w:rPr>
          <w:rFonts w:hint="eastAsia" w:ascii="宋体" w:hAnsi="宋体" w:cs="宋体"/>
          <w:color w:val="auto"/>
          <w:sz w:val="24"/>
          <w:szCs w:val="24"/>
          <w:highlight w:val="none"/>
          <w:u w:val="single"/>
          <w:lang w:bidi="ar"/>
        </w:rPr>
        <w:t xml:space="preserve">（中型企业、小型企业、微型企业）</w:t>
      </w:r>
      <w:r>
        <w:rPr>
          <w:rFonts w:hint="eastAsia" w:ascii="宋体" w:hAnsi="宋体" w:cs="宋体"/>
          <w:color w:val="auto"/>
          <w:sz w:val="24"/>
          <w:szCs w:val="24"/>
          <w:highlight w:val="none"/>
          <w:lang w:bidi="ar"/>
        </w:rPr>
        <w:t xml:space="preserve">； </w:t>
      </w:r>
      <w:r/>
    </w:p>
    <w:p>
      <w:pPr>
        <w:ind w:firstLine="56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56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本企业对上述声明内容的真实性负责。如有虚假，将依法承担相应责任。 </w:t>
      </w:r>
      <w:r/>
    </w:p>
    <w:p>
      <w:pPr>
        <w:ind w:firstLine="560"/>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企业名称（盖章）： </w:t>
      </w:r>
      <w:r/>
    </w:p>
    <w:p>
      <w:pPr>
        <w:jc w:val="center"/>
        <w:rPr>
          <w:rFonts w:hint="eastAsia" w:ascii="宋体" w:hAnsi="宋体" w:cs="宋体"/>
          <w:b/>
          <w:color w:val="auto"/>
          <w:sz w:val="28"/>
          <w:szCs w:val="28"/>
          <w:highlight w:val="none"/>
        </w:rPr>
      </w:pPr>
      <w:r>
        <w:rPr>
          <w:rFonts w:hint="eastAsia" w:ascii="宋体" w:hAnsi="宋体" w:cs="宋体"/>
          <w:color w:val="auto"/>
          <w:sz w:val="24"/>
          <w:szCs w:val="24"/>
          <w:highlight w:val="none"/>
          <w:lang w:bidi="ar"/>
        </w:rPr>
        <w:t xml:space="preserve">                                  日 期：</w:t>
      </w:r>
      <w:r/>
    </w:p>
    <w:p>
      <w:pPr>
        <w:ind w:left="106" w:right="111" w:firstLine="170"/>
        <w:spacing w:line="348" w:lineRule="auto"/>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hint="eastAsia"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pageBreakBefore/>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附件2：残疾人福利性单位声明函（格式）：</w:t>
      </w:r>
      <w:r/>
    </w:p>
    <w:p>
      <w:pPr>
        <w:spacing w:line="48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残疾人福利性单位声明函</w:t>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单位名称（盖章）：</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spacing w:line="360" w:lineRule="auto"/>
        <w:rPr>
          <w:rFonts w:hint="eastAsia" w:ascii="宋体" w:hAnsi="宋体" w:cs="宋体"/>
          <w:b/>
          <w:color w:val="auto"/>
          <w:sz w:val="30"/>
          <w:szCs w:val="30"/>
          <w:highlight w:val="none"/>
        </w:rPr>
      </w:pPr>
      <w:r>
        <w:rPr>
          <w:rFonts w:hint="eastAsia" w:ascii="黑体" w:hAnsi="宋体" w:eastAsia="黑体"/>
          <w:bCs/>
          <w:color w:val="auto"/>
          <w:sz w:val="24"/>
          <w:szCs w:val="24"/>
          <w:highlight w:val="none"/>
        </w:rPr>
        <w:t xml:space="preserve">（十二）关于符合本国产品标准的声明函（格式）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560"/>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bCs/>
          <w:color w:val="auto"/>
          <w:sz w:val="24"/>
          <w:szCs w:val="24"/>
          <w:highlight w:val="none"/>
        </w:rPr>
      </w:pPr>
      <w:r>
        <w:rPr>
          <w:rFonts w:hint="eastAsia" w:ascii="宋体" w:hAnsi="宋体" w:cs="宋体"/>
          <w:b/>
          <w:color w:val="auto"/>
          <w:sz w:val="18"/>
          <w:szCs w:val="18"/>
          <w:highlight w:val="none"/>
        </w:rPr>
        <w:t xml:space="preserve">注：划删除线的地方无需填写。</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pageBreakBefore/>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（十三）服务方案（格式）：</w:t>
      </w:r>
      <w:r/>
    </w:p>
    <w:p>
      <w:pPr>
        <w:pStyle w:val="1042"/>
        <w:rPr>
          <w:rFonts w:hint="eastAsia" w:ascii="宋体" w:hAnsi="宋体" w:cs="宋体"/>
          <w:bCs/>
          <w:color w:val="auto"/>
          <w:highlight w:val="none"/>
        </w:rPr>
      </w:pPr>
      <w:r>
        <w:rPr>
          <w:rFonts w:hint="eastAsia" w:ascii="宋体" w:hAnsi="宋体" w:cs="宋体"/>
          <w:bCs/>
          <w:color w:val="auto"/>
          <w:highlight w:val="none"/>
        </w:rPr>
      </w:r>
      <w:r/>
    </w:p>
    <w:p>
      <w:pPr>
        <w:pStyle w:val="1042"/>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042"/>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投标供应商应按评分点编制完整的服务方案，以便评审。</w:t>
      </w:r>
      <w:r/>
    </w:p>
    <w:p>
      <w:pPr>
        <w:pStyle w:val="1042"/>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sectPr>
      <w:footnotePr/>
      <w:endnotePr/>
      <w:type w:val="nextPage"/>
      <w:pgSz w:w="11905" w:h="16838" w:orient="portrait"/>
      <w:pgMar w:top="1247" w:right="1247" w:bottom="1270" w:left="130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Calibri">
    <w:panose1 w:val="020F0502020204030204"/>
  </w:font>
  <w:font w:name="楷体_GB2312">
    <w:panose1 w:val="02010609060101010101"/>
  </w:font>
  <w:font w:name="Adobe 仿宋 Std R">
    <w:panose1 w:val="020B0503020202020204"/>
  </w:font>
  <w:font w:name="Courier New">
    <w:panose1 w:val="02070309020205020404"/>
  </w:font>
  <w:font w:name="MS Sans Serif">
    <w:panose1 w:val="020B0503020202020204"/>
  </w:font>
  <w:font w:name="黑体">
    <w:panose1 w:val="02010609060101010101"/>
  </w:font>
  <w:font w:name="仿宋_GB2312">
    <w:panose1 w:val="02010609060101010101"/>
  </w:font>
  <w:font w:name="华文中宋">
    <w:panose1 w:val="02010600040101010101"/>
  </w:font>
  <w:font w:name="Arial">
    <w:panose1 w:val="020B0604020202020204"/>
  </w:font>
  <w:font w:name="inherit">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8pt;height:26.1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3">
    <w:multiLevelType w:val="hybridMultilevel"/>
    <w:lvl w:ilvl="0">
      <w:start w:val="1"/>
      <w:numFmt w:val="bullet"/>
      <w:pStyle w:val="105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upperLetter"/>
      <w:pStyle w:val="98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787"/>
    <w:link w:val="778"/>
    <w:uiPriority w:val="9"/>
    <w:rPr>
      <w:rFonts w:ascii="Arial" w:hAnsi="Arial" w:eastAsia="Arial" w:cs="Arial"/>
      <w:sz w:val="40"/>
      <w:szCs w:val="40"/>
    </w:rPr>
  </w:style>
  <w:style w:type="character" w:styleId="741">
    <w:name w:val="Heading 2 Char"/>
    <w:basedOn w:val="787"/>
    <w:link w:val="779"/>
    <w:uiPriority w:val="9"/>
    <w:rPr>
      <w:rFonts w:ascii="Arial" w:hAnsi="Arial" w:eastAsia="Arial" w:cs="Arial"/>
      <w:sz w:val="34"/>
    </w:rPr>
  </w:style>
  <w:style w:type="character" w:styleId="742">
    <w:name w:val="Heading 3 Char"/>
    <w:basedOn w:val="787"/>
    <w:link w:val="780"/>
    <w:uiPriority w:val="9"/>
    <w:rPr>
      <w:rFonts w:ascii="Arial" w:hAnsi="Arial" w:eastAsia="Arial" w:cs="Arial"/>
      <w:sz w:val="30"/>
      <w:szCs w:val="30"/>
    </w:rPr>
  </w:style>
  <w:style w:type="character" w:styleId="743">
    <w:name w:val="Heading 4 Char"/>
    <w:basedOn w:val="787"/>
    <w:link w:val="781"/>
    <w:uiPriority w:val="9"/>
    <w:rPr>
      <w:rFonts w:ascii="Arial" w:hAnsi="Arial" w:eastAsia="Arial" w:cs="Arial"/>
      <w:b/>
      <w:bCs/>
      <w:sz w:val="26"/>
      <w:szCs w:val="26"/>
    </w:rPr>
  </w:style>
  <w:style w:type="character" w:styleId="744">
    <w:name w:val="Heading 5 Char"/>
    <w:basedOn w:val="787"/>
    <w:link w:val="782"/>
    <w:uiPriority w:val="9"/>
    <w:rPr>
      <w:rFonts w:ascii="Arial" w:hAnsi="Arial" w:eastAsia="Arial" w:cs="Arial"/>
      <w:b/>
      <w:bCs/>
      <w:sz w:val="24"/>
      <w:szCs w:val="24"/>
    </w:rPr>
  </w:style>
  <w:style w:type="character" w:styleId="745">
    <w:name w:val="Heading 6 Char"/>
    <w:basedOn w:val="787"/>
    <w:link w:val="783"/>
    <w:uiPriority w:val="9"/>
    <w:rPr>
      <w:rFonts w:ascii="Arial" w:hAnsi="Arial" w:eastAsia="Arial" w:cs="Arial"/>
      <w:b/>
      <w:bCs/>
      <w:sz w:val="22"/>
      <w:szCs w:val="22"/>
    </w:rPr>
  </w:style>
  <w:style w:type="character" w:styleId="746">
    <w:name w:val="Heading 7 Char"/>
    <w:basedOn w:val="787"/>
    <w:link w:val="784"/>
    <w:uiPriority w:val="9"/>
    <w:rPr>
      <w:rFonts w:ascii="Arial" w:hAnsi="Arial" w:eastAsia="Arial" w:cs="Arial"/>
      <w:b/>
      <w:bCs/>
      <w:i/>
      <w:iCs/>
      <w:sz w:val="22"/>
      <w:szCs w:val="22"/>
    </w:rPr>
  </w:style>
  <w:style w:type="character" w:styleId="747">
    <w:name w:val="Heading 8 Char"/>
    <w:basedOn w:val="787"/>
    <w:link w:val="785"/>
    <w:uiPriority w:val="9"/>
    <w:rPr>
      <w:rFonts w:ascii="Arial" w:hAnsi="Arial" w:eastAsia="Arial" w:cs="Arial"/>
      <w:i/>
      <w:iCs/>
      <w:sz w:val="22"/>
      <w:szCs w:val="22"/>
    </w:rPr>
  </w:style>
  <w:style w:type="character" w:styleId="748">
    <w:name w:val="Heading 9 Char"/>
    <w:basedOn w:val="787"/>
    <w:link w:val="786"/>
    <w:uiPriority w:val="9"/>
    <w:rPr>
      <w:rFonts w:ascii="Arial" w:hAnsi="Arial" w:eastAsia="Arial" w:cs="Arial"/>
      <w:i/>
      <w:iCs/>
      <w:sz w:val="21"/>
      <w:szCs w:val="21"/>
    </w:rPr>
  </w:style>
  <w:style w:type="character" w:styleId="749">
    <w:name w:val="Title Char"/>
    <w:basedOn w:val="787"/>
    <w:link w:val="817"/>
    <w:uiPriority w:val="10"/>
    <w:rPr>
      <w:sz w:val="48"/>
      <w:szCs w:val="48"/>
    </w:rPr>
  </w:style>
  <w:style w:type="character" w:styleId="750">
    <w:name w:val="Subtitle Char"/>
    <w:basedOn w:val="787"/>
    <w:link w:val="808"/>
    <w:uiPriority w:val="11"/>
    <w:rPr>
      <w:sz w:val="24"/>
      <w:szCs w:val="24"/>
    </w:rPr>
  </w:style>
  <w:style w:type="character" w:styleId="751">
    <w:name w:val="Quote Char"/>
    <w:link w:val="842"/>
    <w:uiPriority w:val="29"/>
    <w:rPr>
      <w:i/>
    </w:rPr>
  </w:style>
  <w:style w:type="character" w:styleId="752">
    <w:name w:val="Intense Quote Char"/>
    <w:link w:val="844"/>
    <w:uiPriority w:val="30"/>
    <w:rPr>
      <w:i/>
    </w:rPr>
  </w:style>
  <w:style w:type="character" w:styleId="753">
    <w:name w:val="Header Char"/>
    <w:basedOn w:val="787"/>
    <w:link w:val="805"/>
    <w:uiPriority w:val="99"/>
  </w:style>
  <w:style w:type="character" w:styleId="754">
    <w:name w:val="Caption Char"/>
    <w:basedOn w:val="793"/>
    <w:link w:val="803"/>
    <w:uiPriority w:val="99"/>
  </w:style>
  <w:style w:type="table" w:styleId="755">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4">
    <w:name w:val="Footnote Text Char"/>
    <w:link w:val="810"/>
    <w:uiPriority w:val="99"/>
    <w:rPr>
      <w:sz w:val="18"/>
    </w:rPr>
  </w:style>
  <w:style w:type="character" w:styleId="775">
    <w:name w:val="Endnote Text Char"/>
    <w:link w:val="802"/>
    <w:uiPriority w:val="99"/>
    <w:rPr>
      <w:sz w:val="20"/>
    </w:rPr>
  </w:style>
  <w:style w:type="paragraph" w:styleId="776">
    <w:name w:val="TOC Heading"/>
    <w:uiPriority w:val="39"/>
    <w:unhideWhenUsed/>
  </w:style>
  <w:style w:type="paragraph" w:styleId="777" w:default="1">
    <w:name w:val="Normal"/>
    <w:next w:val="789"/>
    <w:uiPriority w:val="0"/>
    <w:qFormat/>
    <w:pPr>
      <w:jc w:val="both"/>
      <w:widowControl w:val="off"/>
    </w:pPr>
    <w:rPr>
      <w:rFonts w:ascii="Times New Roman" w:hAnsi="Times New Roman" w:eastAsia="宋体" w:cs="Times New Roman"/>
      <w:sz w:val="21"/>
      <w:lang w:val="en-US" w:eastAsia="zh-CN" w:bidi="ar-SA"/>
    </w:rPr>
  </w:style>
  <w:style w:type="paragraph" w:styleId="778">
    <w:name w:val="Heading 1"/>
    <w:basedOn w:val="777"/>
    <w:next w:val="777"/>
    <w:link w:val="830"/>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31"/>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32"/>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33"/>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34"/>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35"/>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37"/>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38"/>
    <w:uiPriority w:val="9"/>
    <w:unhideWhenUsed/>
    <w:qFormat/>
    <w:pPr>
      <w:keepLines/>
      <w:keepNext/>
      <w:spacing w:before="320" w:after="200"/>
      <w:outlineLvl w:val="8"/>
    </w:pPr>
    <w:rPr>
      <w:rFonts w:ascii="Arial" w:hAnsi="Arial" w:eastAsia="Arial" w:cs="Arial"/>
      <w:i/>
      <w:iCs/>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Body Text"/>
    <w:basedOn w:val="777"/>
    <w:next w:val="790"/>
    <w:uiPriority w:val="0"/>
    <w:qFormat/>
    <w:rPr>
      <w:rFonts w:ascii="仿宋_GB2312" w:eastAsia="仿宋_GB2312"/>
      <w:sz w:val="28"/>
    </w:rPr>
  </w:style>
  <w:style w:type="paragraph" w:styleId="790">
    <w:name w:val="Body Text First Indent"/>
    <w:basedOn w:val="789"/>
    <w:link w:val="1047"/>
    <w:uiPriority w:val="0"/>
    <w:qFormat/>
    <w:pPr>
      <w:ind w:firstLine="420"/>
      <w:spacing w:after="120"/>
    </w:pPr>
    <w:rPr>
      <w:rFonts w:ascii="Times New Roman" w:eastAsia="宋体"/>
      <w:sz w:val="21"/>
    </w:rPr>
  </w:style>
  <w:style w:type="paragraph" w:styleId="791">
    <w:name w:val="toc 7"/>
    <w:basedOn w:val="777"/>
    <w:next w:val="777"/>
    <w:uiPriority w:val="39"/>
    <w:unhideWhenUsed/>
    <w:qFormat/>
    <w:pPr>
      <w:ind w:left="1701"/>
      <w:spacing w:after="57"/>
    </w:pPr>
  </w:style>
  <w:style w:type="paragraph" w:styleId="792">
    <w:name w:val="Normal Indent"/>
    <w:basedOn w:val="777"/>
    <w:uiPriority w:val="0"/>
    <w:qFormat/>
    <w:pPr>
      <w:ind w:firstLine="420"/>
      <w:jc w:val="left"/>
      <w:widowControl/>
    </w:pPr>
    <w:rPr>
      <w:sz w:val="20"/>
    </w:rPr>
  </w:style>
  <w:style w:type="paragraph" w:styleId="793">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Document Map"/>
    <w:basedOn w:val="777"/>
    <w:uiPriority w:val="0"/>
    <w:qFormat/>
    <w:pPr>
      <w:shd w:val="clear" w:color="auto" w:fill="000080"/>
    </w:pPr>
  </w:style>
  <w:style w:type="paragraph" w:styleId="795">
    <w:name w:val="annotation text"/>
    <w:basedOn w:val="777"/>
    <w:uiPriority w:val="0"/>
    <w:qFormat/>
    <w:pPr>
      <w:jc w:val="left"/>
    </w:pPr>
  </w:style>
  <w:style w:type="paragraph" w:styleId="796">
    <w:name w:val="Body Text Indent"/>
    <w:basedOn w:val="777"/>
    <w:uiPriority w:val="0"/>
    <w:qFormat/>
    <w:pPr>
      <w:ind w:firstLine="540"/>
      <w:spacing w:line="360" w:lineRule="auto"/>
      <w:widowControl/>
    </w:pPr>
    <w:rPr>
      <w:rFonts w:ascii="宋体" w:hAnsi="MS Sans Serif"/>
      <w:spacing w:val="12"/>
      <w:sz w:val="24"/>
    </w:rPr>
  </w:style>
  <w:style w:type="paragraph" w:styleId="797">
    <w:name w:val="index 4"/>
    <w:basedOn w:val="777"/>
    <w:next w:val="777"/>
    <w:uiPriority w:val="0"/>
    <w:qFormat/>
    <w:pPr>
      <w:ind w:left="600"/>
    </w:pPr>
  </w:style>
  <w:style w:type="paragraph" w:styleId="798">
    <w:name w:val="toc 5"/>
    <w:basedOn w:val="777"/>
    <w:next w:val="777"/>
    <w:uiPriority w:val="39"/>
    <w:unhideWhenUsed/>
    <w:qFormat/>
    <w:pPr>
      <w:ind w:left="1134"/>
      <w:spacing w:after="57"/>
    </w:pPr>
  </w:style>
  <w:style w:type="paragraph" w:styleId="799">
    <w:name w:val="toc 3"/>
    <w:basedOn w:val="777"/>
    <w:next w:val="777"/>
    <w:uiPriority w:val="39"/>
    <w:unhideWhenUsed/>
    <w:qFormat/>
    <w:pPr>
      <w:ind w:left="567"/>
      <w:spacing w:after="57"/>
    </w:pPr>
  </w:style>
  <w:style w:type="paragraph" w:styleId="800">
    <w:name w:val="Plain Text"/>
    <w:basedOn w:val="777"/>
    <w:uiPriority w:val="0"/>
    <w:qFormat/>
    <w:rPr>
      <w:rFonts w:ascii="宋体" w:hAnsi="Courier New" w:cs="Courier New"/>
      <w:szCs w:val="21"/>
    </w:rPr>
  </w:style>
  <w:style w:type="paragraph" w:styleId="801">
    <w:name w:val="toc 8"/>
    <w:basedOn w:val="777"/>
    <w:next w:val="777"/>
    <w:uiPriority w:val="39"/>
    <w:unhideWhenUsed/>
    <w:qFormat/>
    <w:pPr>
      <w:ind w:left="1984"/>
      <w:spacing w:after="57"/>
    </w:pPr>
  </w:style>
  <w:style w:type="paragraph" w:styleId="802">
    <w:name w:val="endnote text"/>
    <w:basedOn w:val="777"/>
    <w:link w:val="975"/>
    <w:uiPriority w:val="99"/>
    <w:semiHidden/>
    <w:unhideWhenUsed/>
    <w:qFormat/>
    <w:rPr>
      <w:sz w:val="20"/>
    </w:rPr>
  </w:style>
  <w:style w:type="paragraph" w:styleId="803">
    <w:name w:val="Footer"/>
    <w:basedOn w:val="777"/>
    <w:link w:val="848"/>
    <w:uiPriority w:val="99"/>
    <w:unhideWhenUsed/>
    <w:qFormat/>
    <w:pPr>
      <w:tabs>
        <w:tab w:val="center" w:pos="7143" w:leader="none"/>
        <w:tab w:val="right" w:pos="14287" w:leader="none"/>
      </w:tabs>
    </w:pPr>
  </w:style>
  <w:style w:type="paragraph" w:styleId="804">
    <w:name w:val="envelope return"/>
    <w:basedOn w:val="777"/>
    <w:uiPriority w:val="0"/>
    <w:qFormat/>
    <w:rPr>
      <w:rFonts w:ascii="Arial" w:hAnsi="Arial"/>
    </w:rPr>
  </w:style>
  <w:style w:type="paragraph" w:styleId="805">
    <w:name w:val="Header"/>
    <w:basedOn w:val="777"/>
    <w:link w:val="846"/>
    <w:uiPriority w:val="99"/>
    <w:unhideWhenUsed/>
    <w:qFormat/>
    <w:pPr>
      <w:tabs>
        <w:tab w:val="center" w:pos="7143" w:leader="none"/>
        <w:tab w:val="right" w:pos="14287" w:leader="none"/>
      </w:tabs>
    </w:pPr>
  </w:style>
  <w:style w:type="paragraph" w:styleId="806">
    <w:name w:val="toc 1"/>
    <w:basedOn w:val="777"/>
    <w:next w:val="777"/>
    <w:uiPriority w:val="39"/>
    <w:unhideWhenUsed/>
    <w:qFormat/>
    <w:pPr>
      <w:spacing w:after="57"/>
    </w:pPr>
  </w:style>
  <w:style w:type="paragraph" w:styleId="807">
    <w:name w:val="toc 4"/>
    <w:basedOn w:val="777"/>
    <w:next w:val="777"/>
    <w:uiPriority w:val="39"/>
    <w:unhideWhenUsed/>
    <w:qFormat/>
    <w:pPr>
      <w:ind w:left="850"/>
      <w:spacing w:after="57"/>
    </w:pPr>
  </w:style>
  <w:style w:type="paragraph" w:styleId="808">
    <w:name w:val="Subtitle"/>
    <w:basedOn w:val="777"/>
    <w:next w:val="777"/>
    <w:link w:val="841"/>
    <w:uiPriority w:val="11"/>
    <w:qFormat/>
    <w:pPr>
      <w:spacing w:before="200" w:after="200"/>
    </w:pPr>
    <w:rPr>
      <w:sz w:val="24"/>
      <w:szCs w:val="24"/>
    </w:rPr>
  </w:style>
  <w:style w:type="paragraph" w:styleId="809">
    <w:name w:val="List"/>
    <w:basedOn w:val="777"/>
    <w:uiPriority w:val="0"/>
    <w:qFormat/>
    <w:pPr>
      <w:ind w:left="420" w:hanging="420"/>
      <w:spacing w:after="20" w:line="288" w:lineRule="auto"/>
      <w:tabs>
        <w:tab w:val="left" w:pos="420" w:leader="none"/>
      </w:tabs>
    </w:pPr>
    <w:rPr>
      <w:lang w:val="en-GB"/>
    </w:rPr>
  </w:style>
  <w:style w:type="paragraph" w:styleId="810">
    <w:name w:val="footnote text"/>
    <w:basedOn w:val="777"/>
    <w:link w:val="974"/>
    <w:uiPriority w:val="99"/>
    <w:semiHidden/>
    <w:unhideWhenUsed/>
    <w:qFormat/>
    <w:pPr>
      <w:spacing w:after="40"/>
    </w:pPr>
    <w:rPr>
      <w:sz w:val="18"/>
    </w:rPr>
  </w:style>
  <w:style w:type="paragraph" w:styleId="811">
    <w:name w:val="toc 6"/>
    <w:basedOn w:val="777"/>
    <w:next w:val="777"/>
    <w:uiPriority w:val="39"/>
    <w:unhideWhenUsed/>
    <w:qFormat/>
    <w:pPr>
      <w:ind w:left="1417"/>
      <w:spacing w:after="57"/>
    </w:pPr>
  </w:style>
  <w:style w:type="paragraph" w:styleId="812">
    <w:name w:val="table of figures"/>
    <w:basedOn w:val="777"/>
    <w:next w:val="777"/>
    <w:uiPriority w:val="99"/>
    <w:unhideWhenUsed/>
    <w:qFormat/>
  </w:style>
  <w:style w:type="paragraph" w:styleId="813">
    <w:name w:val="toc 2"/>
    <w:basedOn w:val="777"/>
    <w:next w:val="777"/>
    <w:uiPriority w:val="39"/>
    <w:unhideWhenUsed/>
    <w:qFormat/>
    <w:pPr>
      <w:ind w:left="283"/>
      <w:spacing w:after="57"/>
    </w:pPr>
  </w:style>
  <w:style w:type="paragraph" w:styleId="814">
    <w:name w:val="toc 9"/>
    <w:basedOn w:val="777"/>
    <w:next w:val="777"/>
    <w:uiPriority w:val="39"/>
    <w:unhideWhenUsed/>
    <w:qFormat/>
    <w:pPr>
      <w:ind w:left="2268"/>
      <w:spacing w:after="57"/>
    </w:pPr>
  </w:style>
  <w:style w:type="paragraph" w:styleId="815">
    <w:name w:val="Body Text 2"/>
    <w:basedOn w:val="777"/>
    <w:uiPriority w:val="0"/>
    <w:qFormat/>
    <w:pPr>
      <w:ind w:firstLine="420"/>
      <w:spacing w:after="20" w:line="720" w:lineRule="auto"/>
    </w:pPr>
    <w:rPr>
      <w:sz w:val="30"/>
    </w:rPr>
  </w:style>
  <w:style w:type="paragraph" w:styleId="816">
    <w:name w:val="Normal (Web)"/>
    <w:basedOn w:val="777"/>
    <w:uiPriority w:val="0"/>
    <w:qFormat/>
    <w:pPr>
      <w:ind w:firstLine="420"/>
      <w:jc w:val="left"/>
      <w:spacing w:before="100" w:beforeAutospacing="1" w:after="100" w:afterAutospacing="1" w:line="288" w:lineRule="auto"/>
      <w:widowControl/>
    </w:pPr>
    <w:rPr>
      <w:rFonts w:ascii="宋体" w:hAnsi="宋体"/>
      <w:sz w:val="24"/>
    </w:rPr>
  </w:style>
  <w:style w:type="paragraph" w:styleId="817">
    <w:name w:val="Title"/>
    <w:basedOn w:val="777"/>
    <w:next w:val="777"/>
    <w:link w:val="840"/>
    <w:uiPriority w:val="10"/>
    <w:qFormat/>
    <w:pPr>
      <w:contextualSpacing/>
      <w:spacing w:before="300" w:after="200"/>
    </w:pPr>
    <w:rPr>
      <w:sz w:val="48"/>
      <w:szCs w:val="48"/>
    </w:rPr>
  </w:style>
  <w:style w:type="paragraph" w:styleId="818">
    <w:name w:val="Body Text First Indent 2"/>
    <w:basedOn w:val="796"/>
    <w:uiPriority w:val="99"/>
    <w:semiHidden/>
    <w:unhideWhenUsed/>
    <w:qFormat/>
    <w:pPr>
      <w:ind w:firstLine="420"/>
    </w:pPr>
  </w:style>
  <w:style w:type="table" w:styleId="8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Hyperlink"/>
    <w:uiPriority w:val="99"/>
    <w:unhideWhenUsed/>
    <w:qFormat/>
    <w:rPr>
      <w:color w:val="0000ff" w:themeColor="hyperlink"/>
      <w:u w:val="single"/>
      <w14:textFill>
        <w14:solidFill>
          <w14:schemeClr w14:val="hlink"/>
        </w14:solidFill>
      </w14:textFill>
    </w:rPr>
  </w:style>
  <w:style w:type="character" w:styleId="822">
    <w:name w:val="footnote reference"/>
    <w:uiPriority w:val="99"/>
    <w:unhideWhenUsed/>
    <w:qFormat/>
    <w:rPr>
      <w:vertAlign w:val="superscript"/>
    </w:rPr>
  </w:style>
  <w:style w:type="paragraph" w:styleId="823" w:customStyle="1">
    <w:name w:val="样式 表格正文 + 两端对齐"/>
    <w:basedOn w:val="777"/>
    <w:next w:val="824"/>
    <w:uiPriority w:val="99"/>
    <w:qFormat/>
    <w:pPr>
      <w:spacing w:line="300" w:lineRule="auto"/>
    </w:pPr>
  </w:style>
  <w:style w:type="paragraph" w:styleId="824" w:customStyle="1">
    <w:name w:val="正文1"/>
    <w:basedOn w:val="794"/>
    <w:next w:val="777"/>
    <w:uiPriority w:val="0"/>
    <w:qFormat/>
    <w:pPr>
      <w:contextualSpacing/>
      <w:ind w:firstLine="200"/>
      <w:spacing w:before="120" w:after="120" w:line="180" w:lineRule="auto"/>
    </w:pPr>
    <w:rPr>
      <w:rFonts w:eastAsia="Adobe 仿宋 Std R"/>
      <w:szCs w:val="21"/>
    </w:rPr>
  </w:style>
  <w:style w:type="paragraph" w:styleId="82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826">
    <w:name w:val="List Paragraph"/>
    <w:basedOn w:val="777"/>
    <w:uiPriority w:val="34"/>
    <w:qFormat/>
    <w:pPr>
      <w:contextualSpacing/>
      <w:ind w:left="720"/>
    </w:pPr>
  </w:style>
  <w:style w:type="paragraph" w:styleId="827" w:customStyle="1">
    <w:name w:val="TOC Heading1"/>
    <w:next w:val="777"/>
    <w:uiPriority w:val="0"/>
    <w:qFormat/>
    <w:rPr>
      <w:rFonts w:ascii="Times New Roman" w:hAnsi="Times New Roman" w:eastAsia="宋体" w:cs="Times New Roman"/>
      <w:sz w:val="32"/>
      <w:lang w:val="en-US" w:eastAsia="zh-CN" w:bidi="ar-SA"/>
    </w:rPr>
  </w:style>
  <w:style w:type="character" w:styleId="828" w:customStyle="1">
    <w:name w:val="标题 1 Char"/>
    <w:link w:val="829"/>
    <w:uiPriority w:val="0"/>
    <w:qFormat/>
    <w:rPr>
      <w:rFonts w:ascii="楷体_GB2312" w:hAnsi="Times New Roman" w:eastAsia="楷体_GB2312" w:cs="Times New Roman"/>
      <w:b/>
      <w:sz w:val="28"/>
      <w:szCs w:val="20"/>
    </w:rPr>
  </w:style>
  <w:style w:type="paragraph" w:styleId="829" w:customStyle="1">
    <w:name w:val="标题 11"/>
    <w:basedOn w:val="777"/>
    <w:next w:val="777"/>
    <w:link w:val="828"/>
    <w:uiPriority w:val="0"/>
    <w:qFormat/>
    <w:pPr>
      <w:jc w:val="center"/>
      <w:keepNext/>
      <w:outlineLvl w:val="0"/>
    </w:pPr>
    <w:rPr>
      <w:rFonts w:ascii="楷体_GB2312" w:eastAsia="楷体_GB2312"/>
      <w:b/>
      <w:sz w:val="28"/>
    </w:rPr>
  </w:style>
  <w:style w:type="character" w:styleId="830" w:customStyle="1">
    <w:name w:val="标题 1 字符"/>
    <w:link w:val="778"/>
    <w:uiPriority w:val="9"/>
    <w:qFormat/>
    <w:rPr>
      <w:rFonts w:ascii="Arial" w:hAnsi="Arial" w:eastAsia="Arial" w:cs="Arial"/>
      <w:sz w:val="40"/>
      <w:szCs w:val="40"/>
    </w:rPr>
  </w:style>
  <w:style w:type="character" w:styleId="831" w:customStyle="1">
    <w:name w:val="标题 2 字符"/>
    <w:link w:val="779"/>
    <w:uiPriority w:val="9"/>
    <w:qFormat/>
    <w:rPr>
      <w:rFonts w:ascii="Arial" w:hAnsi="Arial" w:eastAsia="Arial" w:cs="Arial"/>
      <w:sz w:val="34"/>
    </w:rPr>
  </w:style>
  <w:style w:type="character" w:styleId="832" w:customStyle="1">
    <w:name w:val="标题 3 字符"/>
    <w:link w:val="780"/>
    <w:uiPriority w:val="9"/>
    <w:qFormat/>
    <w:rPr>
      <w:rFonts w:ascii="Arial" w:hAnsi="Arial" w:eastAsia="Arial" w:cs="Arial"/>
      <w:sz w:val="30"/>
      <w:szCs w:val="30"/>
    </w:rPr>
  </w:style>
  <w:style w:type="character" w:styleId="833" w:customStyle="1">
    <w:name w:val="标题 4 字符"/>
    <w:link w:val="781"/>
    <w:uiPriority w:val="9"/>
    <w:qFormat/>
    <w:rPr>
      <w:rFonts w:ascii="Arial" w:hAnsi="Arial" w:eastAsia="Arial" w:cs="Arial"/>
      <w:b/>
      <w:bCs/>
      <w:sz w:val="26"/>
      <w:szCs w:val="26"/>
    </w:rPr>
  </w:style>
  <w:style w:type="character" w:styleId="834" w:customStyle="1">
    <w:name w:val="标题 5 字符"/>
    <w:link w:val="782"/>
    <w:uiPriority w:val="9"/>
    <w:qFormat/>
    <w:rPr>
      <w:rFonts w:ascii="Arial" w:hAnsi="Arial" w:eastAsia="Arial" w:cs="Arial"/>
      <w:b/>
      <w:bCs/>
      <w:sz w:val="24"/>
      <w:szCs w:val="24"/>
    </w:rPr>
  </w:style>
  <w:style w:type="character" w:styleId="835" w:customStyle="1">
    <w:name w:val="标题 6 字符"/>
    <w:link w:val="783"/>
    <w:uiPriority w:val="9"/>
    <w:qFormat/>
    <w:rPr>
      <w:rFonts w:ascii="Arial" w:hAnsi="Arial" w:eastAsia="Arial" w:cs="Arial"/>
      <w:b/>
      <w:bCs/>
      <w:sz w:val="22"/>
      <w:szCs w:val="22"/>
    </w:rPr>
  </w:style>
  <w:style w:type="character" w:styleId="836" w:customStyle="1">
    <w:name w:val="标题 7 字符"/>
    <w:link w:val="784"/>
    <w:uiPriority w:val="9"/>
    <w:qFormat/>
    <w:rPr>
      <w:rFonts w:ascii="Arial" w:hAnsi="Arial" w:eastAsia="Arial" w:cs="Arial"/>
      <w:b/>
      <w:bCs/>
      <w:i/>
      <w:iCs/>
      <w:sz w:val="22"/>
      <w:szCs w:val="22"/>
    </w:rPr>
  </w:style>
  <w:style w:type="character" w:styleId="837" w:customStyle="1">
    <w:name w:val="标题 8 字符"/>
    <w:link w:val="785"/>
    <w:uiPriority w:val="9"/>
    <w:qFormat/>
    <w:rPr>
      <w:rFonts w:ascii="Arial" w:hAnsi="Arial" w:eastAsia="Arial" w:cs="Arial"/>
      <w:i/>
      <w:iCs/>
      <w:sz w:val="22"/>
      <w:szCs w:val="22"/>
    </w:rPr>
  </w:style>
  <w:style w:type="character" w:styleId="838" w:customStyle="1">
    <w:name w:val="标题 9 字符"/>
    <w:link w:val="786"/>
    <w:uiPriority w:val="9"/>
    <w:qFormat/>
    <w:rPr>
      <w:rFonts w:ascii="Arial" w:hAnsi="Arial" w:eastAsia="Arial" w:cs="Arial"/>
      <w:i/>
      <w:iCs/>
      <w:sz w:val="21"/>
      <w:szCs w:val="21"/>
    </w:rPr>
  </w:style>
  <w:style w:type="paragraph" w:styleId="839">
    <w:name w:val="No Spacing"/>
    <w:uiPriority w:val="1"/>
    <w:qFormat/>
    <w:rPr>
      <w:rFonts w:ascii="Times New Roman" w:hAnsi="Times New Roman" w:eastAsia="宋体" w:cs="Times New Roman"/>
      <w:lang w:val="en-US" w:eastAsia="zh-CN" w:bidi="ar-SA"/>
    </w:rPr>
  </w:style>
  <w:style w:type="character" w:styleId="840" w:customStyle="1">
    <w:name w:val="标题 字符"/>
    <w:link w:val="817"/>
    <w:uiPriority w:val="10"/>
    <w:qFormat/>
    <w:rPr>
      <w:sz w:val="48"/>
      <w:szCs w:val="48"/>
    </w:rPr>
  </w:style>
  <w:style w:type="character" w:styleId="841" w:customStyle="1">
    <w:name w:val="副标题 字符"/>
    <w:link w:val="808"/>
    <w:uiPriority w:val="11"/>
    <w:qFormat/>
    <w:rPr>
      <w:sz w:val="24"/>
      <w:szCs w:val="24"/>
    </w:rPr>
  </w:style>
  <w:style w:type="paragraph" w:styleId="842">
    <w:name w:val="Quote"/>
    <w:basedOn w:val="777"/>
    <w:next w:val="777"/>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77"/>
    <w:next w:val="777"/>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页眉 字符"/>
    <w:link w:val="805"/>
    <w:uiPriority w:val="99"/>
    <w:qFormat/>
  </w:style>
  <w:style w:type="character" w:styleId="847" w:customStyle="1">
    <w:name w:val="Footer Char"/>
    <w:uiPriority w:val="99"/>
    <w:qFormat/>
  </w:style>
  <w:style w:type="character" w:styleId="848" w:customStyle="1">
    <w:name w:val="页脚 字符"/>
    <w:link w:val="803"/>
    <w:uiPriority w:val="99"/>
    <w:qFormat/>
  </w:style>
  <w:style w:type="table" w:styleId="8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
    <w:link w:val="810"/>
    <w:uiPriority w:val="99"/>
    <w:qFormat/>
    <w:rPr>
      <w:sz w:val="18"/>
    </w:rPr>
  </w:style>
  <w:style w:type="character" w:styleId="975" w:customStyle="1">
    <w:name w:val="尾注文本 字符"/>
    <w:link w:val="802"/>
    <w:uiPriority w:val="99"/>
    <w:qFormat/>
    <w:rPr>
      <w:sz w:val="20"/>
    </w:rPr>
  </w:style>
  <w:style w:type="paragraph" w:styleId="976" w:customStyle="1">
    <w:name w:val="TOC 标题1"/>
    <w:uiPriority w:val="39"/>
    <w:unhideWhenUsed/>
    <w:qFormat/>
    <w:rPr>
      <w:rFonts w:ascii="Times New Roman" w:hAnsi="Times New Roman" w:eastAsia="宋体" w:cs="Times New Roman"/>
      <w:lang w:val="en-US" w:eastAsia="zh-CN" w:bidi="ar-SA"/>
    </w:rPr>
  </w:style>
  <w:style w:type="paragraph" w:styleId="977" w:customStyle="1">
    <w:name w:val="标题 21"/>
    <w:basedOn w:val="777"/>
    <w:next w:val="777"/>
    <w:link w:val="983"/>
    <w:uiPriority w:val="0"/>
    <w:qFormat/>
    <w:pPr>
      <w:jc w:val="center"/>
      <w:keepNext/>
      <w:outlineLvl w:val="1"/>
    </w:pPr>
    <w:rPr>
      <w:rFonts w:ascii="楷体_GB2312" w:eastAsia="楷体_GB2312"/>
      <w:b/>
      <w:bCs/>
      <w:sz w:val="18"/>
    </w:rPr>
  </w:style>
  <w:style w:type="paragraph" w:styleId="978" w:customStyle="1">
    <w:name w:val="标题 31"/>
    <w:basedOn w:val="777"/>
    <w:next w:val="777"/>
    <w:link w:val="984"/>
    <w:uiPriority w:val="0"/>
    <w:qFormat/>
    <w:pPr>
      <w:jc w:val="center"/>
      <w:keepNext/>
      <w:outlineLvl w:val="2"/>
    </w:pPr>
    <w:rPr>
      <w:rFonts w:eastAsia="楷体_GB2312"/>
      <w:b/>
      <w:bCs/>
      <w:sz w:val="15"/>
    </w:rPr>
  </w:style>
  <w:style w:type="paragraph" w:styleId="979" w:customStyle="1">
    <w:name w:val="标题 41"/>
    <w:basedOn w:val="777"/>
    <w:next w:val="777"/>
    <w:link w:val="985"/>
    <w:uiPriority w:val="0"/>
    <w:qFormat/>
    <w:pPr>
      <w:jc w:val="center"/>
      <w:keepNext/>
      <w:outlineLvl w:val="3"/>
    </w:pPr>
    <w:rPr>
      <w:rFonts w:eastAsia="楷体_GB2312"/>
      <w:b/>
      <w:bCs/>
      <w:sz w:val="13"/>
    </w:rPr>
  </w:style>
  <w:style w:type="paragraph" w:styleId="980" w:customStyle="1">
    <w:name w:val="标题 51"/>
    <w:basedOn w:val="777"/>
    <w:next w:val="777"/>
    <w:link w:val="986"/>
    <w:uiPriority w:val="0"/>
    <w:qFormat/>
    <w:pPr>
      <w:numPr>
        <w:ilvl w:val="0"/>
        <w:numId w:val="1"/>
      </w:numPr>
      <w:keepNext/>
      <w:outlineLvl w:val="4"/>
    </w:pPr>
    <w:rPr>
      <w:rFonts w:ascii="楷体_GB2312" w:eastAsia="楷体_GB2312"/>
      <w:bCs/>
      <w:sz w:val="28"/>
    </w:rPr>
  </w:style>
  <w:style w:type="character" w:styleId="981" w:customStyle="1">
    <w:name w:val="默认段落字体1"/>
    <w:uiPriority w:val="1"/>
    <w:unhideWhenUsed/>
    <w:qFormat/>
  </w:style>
  <w:style w:type="table" w:styleId="982" w:customStyle="1">
    <w:name w:val="普通表格1"/>
    <w:uiPriority w:val="99"/>
    <w:unhideWhenUsed/>
    <w:qFormat/>
    <w:tblPr>
      <w:tblCellMar>
        <w:left w:w="0" w:type="dxa"/>
        <w:top w:w="0" w:type="dxa"/>
        <w:right w:w="0" w:type="dxa"/>
        <w:bottom w:w="0" w:type="dxa"/>
      </w:tblCellMar>
    </w:tblPr>
  </w:style>
  <w:style w:type="character" w:styleId="983" w:customStyle="1">
    <w:name w:val="标题 2 Char"/>
    <w:link w:val="977"/>
    <w:uiPriority w:val="0"/>
    <w:qFormat/>
    <w:rPr>
      <w:rFonts w:ascii="楷体_GB2312" w:hAnsi="Times New Roman" w:eastAsia="楷体_GB2312" w:cs="Times New Roman"/>
      <w:b/>
      <w:bCs/>
      <w:sz w:val="18"/>
      <w:szCs w:val="20"/>
    </w:rPr>
  </w:style>
  <w:style w:type="character" w:styleId="984" w:customStyle="1">
    <w:name w:val="标题 3 Char"/>
    <w:link w:val="978"/>
    <w:uiPriority w:val="0"/>
    <w:qFormat/>
    <w:rPr>
      <w:rFonts w:ascii="Times New Roman" w:hAnsi="Times New Roman" w:eastAsia="楷体_GB2312" w:cs="Times New Roman"/>
      <w:b/>
      <w:bCs/>
      <w:sz w:val="15"/>
      <w:szCs w:val="20"/>
    </w:rPr>
  </w:style>
  <w:style w:type="character" w:styleId="985" w:customStyle="1">
    <w:name w:val="标题 4 Char"/>
    <w:link w:val="979"/>
    <w:uiPriority w:val="0"/>
    <w:qFormat/>
    <w:rPr>
      <w:rFonts w:ascii="Times New Roman" w:hAnsi="Times New Roman" w:eastAsia="楷体_GB2312" w:cs="Times New Roman"/>
      <w:b/>
      <w:bCs/>
      <w:sz w:val="13"/>
      <w:szCs w:val="20"/>
    </w:rPr>
  </w:style>
  <w:style w:type="character" w:styleId="986" w:customStyle="1">
    <w:name w:val="标题 5 Char"/>
    <w:link w:val="980"/>
    <w:uiPriority w:val="0"/>
    <w:qFormat/>
    <w:rPr>
      <w:rFonts w:ascii="楷体_GB2312" w:hAnsi="Times New Roman" w:eastAsia="楷体_GB2312" w:cs="Times New Roman"/>
      <w:bCs/>
      <w:sz w:val="28"/>
      <w:szCs w:val="20"/>
    </w:rPr>
  </w:style>
  <w:style w:type="paragraph" w:styleId="987" w:customStyle="1">
    <w:name w:val="正文缩进1"/>
    <w:basedOn w:val="777"/>
    <w:link w:val="988"/>
    <w:uiPriority w:val="0"/>
    <w:unhideWhenUsed/>
    <w:qFormat/>
    <w:pPr>
      <w:ind w:firstLine="420"/>
    </w:pPr>
  </w:style>
  <w:style w:type="character" w:styleId="988" w:customStyle="1">
    <w:name w:val="正文缩进 Char"/>
    <w:link w:val="987"/>
    <w:uiPriority w:val="0"/>
    <w:semiHidden/>
    <w:qFormat/>
    <w:rPr>
      <w:rFonts w:ascii="Times New Roman" w:hAnsi="Times New Roman"/>
      <w:sz w:val="21"/>
    </w:rPr>
  </w:style>
  <w:style w:type="paragraph" w:styleId="989" w:customStyle="1">
    <w:name w:val="文档结构图1"/>
    <w:basedOn w:val="777"/>
    <w:link w:val="990"/>
    <w:uiPriority w:val="0"/>
    <w:semiHidden/>
    <w:qFormat/>
    <w:pPr>
      <w:shd w:val="clear" w:color="auto" w:fill="000080"/>
    </w:pPr>
    <w:rPr>
      <w:sz w:val="20"/>
    </w:rPr>
  </w:style>
  <w:style w:type="character" w:styleId="990" w:customStyle="1">
    <w:name w:val="文档结构图 Char"/>
    <w:link w:val="989"/>
    <w:uiPriority w:val="0"/>
    <w:semiHidden/>
    <w:qFormat/>
    <w:rPr>
      <w:rFonts w:ascii="Times New Roman" w:hAnsi="Times New Roman" w:eastAsia="宋体" w:cs="Times New Roman"/>
      <w:szCs w:val="20"/>
      <w:shd w:val="clear" w:color="auto" w:fill="000080"/>
    </w:rPr>
  </w:style>
  <w:style w:type="paragraph" w:styleId="991" w:customStyle="1">
    <w:name w:val="批注文字1"/>
    <w:basedOn w:val="777"/>
    <w:link w:val="992"/>
    <w:uiPriority w:val="99"/>
    <w:semiHidden/>
    <w:qFormat/>
    <w:pPr>
      <w:jc w:val="left"/>
    </w:pPr>
    <w:rPr>
      <w:sz w:val="20"/>
      <w:szCs w:val="24"/>
    </w:rPr>
  </w:style>
  <w:style w:type="character" w:styleId="992" w:customStyle="1">
    <w:name w:val="批注文字 Char"/>
    <w:link w:val="991"/>
    <w:uiPriority w:val="99"/>
    <w:semiHidden/>
    <w:qFormat/>
    <w:rPr>
      <w:rFonts w:ascii="Times New Roman" w:hAnsi="Times New Roman" w:eastAsia="宋体" w:cs="Times New Roman"/>
      <w:szCs w:val="24"/>
    </w:rPr>
  </w:style>
  <w:style w:type="paragraph" w:styleId="993" w:customStyle="1">
    <w:name w:val="正文文本1"/>
    <w:basedOn w:val="777"/>
    <w:next w:val="777"/>
    <w:link w:val="994"/>
    <w:uiPriority w:val="99"/>
    <w:qFormat/>
    <w:rPr>
      <w:rFonts w:ascii="华文中宋" w:eastAsia="华文中宋"/>
      <w:bCs/>
      <w:sz w:val="28"/>
    </w:rPr>
  </w:style>
  <w:style w:type="character" w:styleId="994" w:customStyle="1">
    <w:name w:val="正文文本 Char"/>
    <w:link w:val="993"/>
    <w:uiPriority w:val="99"/>
    <w:qFormat/>
    <w:rPr>
      <w:rFonts w:ascii="华文中宋" w:hAnsi="Times New Roman" w:eastAsia="华文中宋" w:cs="Times New Roman"/>
      <w:bCs/>
      <w:sz w:val="28"/>
      <w:szCs w:val="20"/>
    </w:rPr>
  </w:style>
  <w:style w:type="paragraph" w:styleId="995" w:customStyle="1">
    <w:name w:val="正文文本缩进1"/>
    <w:basedOn w:val="777"/>
    <w:link w:val="996"/>
    <w:uiPriority w:val="0"/>
    <w:qFormat/>
    <w:pPr>
      <w:ind w:firstLine="576"/>
    </w:pPr>
    <w:rPr>
      <w:b/>
      <w:sz w:val="30"/>
    </w:rPr>
  </w:style>
  <w:style w:type="character" w:styleId="996" w:customStyle="1">
    <w:name w:val="正文文本缩进 Char"/>
    <w:link w:val="995"/>
    <w:uiPriority w:val="0"/>
    <w:qFormat/>
    <w:rPr>
      <w:rFonts w:ascii="Times New Roman" w:hAnsi="Times New Roman" w:eastAsia="宋体" w:cs="Times New Roman"/>
      <w:b/>
      <w:sz w:val="30"/>
      <w:szCs w:val="20"/>
    </w:rPr>
  </w:style>
  <w:style w:type="paragraph" w:styleId="997" w:customStyle="1">
    <w:name w:val="索引 41"/>
    <w:basedOn w:val="777"/>
    <w:next w:val="777"/>
    <w:uiPriority w:val="99"/>
    <w:qFormat/>
    <w:pPr>
      <w:ind w:left="600"/>
    </w:pPr>
    <w:rPr>
      <w:szCs w:val="24"/>
    </w:rPr>
  </w:style>
  <w:style w:type="paragraph" w:styleId="998" w:customStyle="1">
    <w:name w:val="日期1"/>
    <w:basedOn w:val="777"/>
    <w:next w:val="777"/>
    <w:link w:val="999"/>
    <w:uiPriority w:val="0"/>
    <w:qFormat/>
    <w:rPr>
      <w:rFonts w:eastAsia="黑体"/>
      <w:b/>
      <w:sz w:val="36"/>
    </w:rPr>
  </w:style>
  <w:style w:type="character" w:styleId="999" w:customStyle="1">
    <w:name w:val="日期 Char"/>
    <w:link w:val="998"/>
    <w:uiPriority w:val="0"/>
    <w:qFormat/>
    <w:rPr>
      <w:rFonts w:ascii="Times New Roman" w:hAnsi="Times New Roman" w:eastAsia="黑体" w:cs="Times New Roman"/>
      <w:b/>
      <w:sz w:val="36"/>
      <w:szCs w:val="20"/>
    </w:rPr>
  </w:style>
  <w:style w:type="paragraph" w:styleId="1000" w:customStyle="1">
    <w:name w:val="正文文本缩进 21"/>
    <w:basedOn w:val="777"/>
    <w:link w:val="1001"/>
    <w:uiPriority w:val="0"/>
    <w:qFormat/>
    <w:pPr>
      <w:ind w:left="900"/>
    </w:pPr>
    <w:rPr>
      <w:rFonts w:ascii="楷体_GB2312" w:eastAsia="楷体_GB2312"/>
      <w:b/>
      <w:sz w:val="28"/>
    </w:rPr>
  </w:style>
  <w:style w:type="character" w:styleId="1001" w:customStyle="1">
    <w:name w:val="正文文本缩进 2 Char"/>
    <w:link w:val="1000"/>
    <w:uiPriority w:val="0"/>
    <w:qFormat/>
    <w:rPr>
      <w:rFonts w:ascii="楷体_GB2312" w:hAnsi="Times New Roman" w:eastAsia="楷体_GB2312" w:cs="Times New Roman"/>
      <w:b/>
      <w:sz w:val="28"/>
      <w:szCs w:val="20"/>
    </w:rPr>
  </w:style>
  <w:style w:type="paragraph" w:styleId="1002" w:customStyle="1">
    <w:name w:val="批注框文本1"/>
    <w:basedOn w:val="777"/>
    <w:link w:val="1003"/>
    <w:uiPriority w:val="99"/>
    <w:unhideWhenUsed/>
    <w:qFormat/>
    <w:rPr>
      <w:sz w:val="18"/>
      <w:szCs w:val="18"/>
    </w:rPr>
  </w:style>
  <w:style w:type="character" w:styleId="1003" w:customStyle="1">
    <w:name w:val="批注框文本 Char"/>
    <w:link w:val="1002"/>
    <w:uiPriority w:val="99"/>
    <w:semiHidden/>
    <w:qFormat/>
    <w:rPr>
      <w:rFonts w:ascii="Times New Roman" w:hAnsi="Times New Roman" w:eastAsia="宋体" w:cs="Times New Roman"/>
      <w:sz w:val="18"/>
      <w:szCs w:val="18"/>
    </w:rPr>
  </w:style>
  <w:style w:type="paragraph" w:styleId="1004" w:customStyle="1">
    <w:name w:val="页脚1"/>
    <w:basedOn w:val="777"/>
    <w:next w:val="1005"/>
    <w:link w:val="1006"/>
    <w:uiPriority w:val="0"/>
    <w:unhideWhenUsed/>
    <w:qFormat/>
    <w:pPr>
      <w:jc w:val="left"/>
      <w:tabs>
        <w:tab w:val="center" w:pos="4153" w:leader="none"/>
        <w:tab w:val="right" w:pos="8306" w:leader="none"/>
      </w:tabs>
    </w:pPr>
    <w:rPr>
      <w:sz w:val="18"/>
      <w:szCs w:val="18"/>
    </w:rPr>
  </w:style>
  <w:style w:type="paragraph" w:styleId="1005" w:customStyle="1">
    <w:name w:val="明显引用1"/>
    <w:next w:val="777"/>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1006" w:customStyle="1">
    <w:name w:val="页脚 Char"/>
    <w:link w:val="1004"/>
    <w:uiPriority w:val="0"/>
    <w:qFormat/>
    <w:rPr>
      <w:sz w:val="18"/>
      <w:szCs w:val="18"/>
    </w:rPr>
  </w:style>
  <w:style w:type="paragraph" w:styleId="1007" w:customStyle="1">
    <w:name w:val="页眉1"/>
    <w:basedOn w:val="777"/>
    <w:link w:val="1008"/>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08" w:customStyle="1">
    <w:name w:val="页眉 Char"/>
    <w:link w:val="1007"/>
    <w:uiPriority w:val="0"/>
    <w:qFormat/>
    <w:rPr>
      <w:sz w:val="18"/>
      <w:szCs w:val="18"/>
    </w:rPr>
  </w:style>
  <w:style w:type="paragraph" w:styleId="1009" w:customStyle="1">
    <w:name w:val="目录 11"/>
    <w:basedOn w:val="777"/>
    <w:next w:val="777"/>
    <w:uiPriority w:val="39"/>
    <w:unhideWhenUsed/>
    <w:qFormat/>
  </w:style>
  <w:style w:type="paragraph" w:styleId="1010" w:customStyle="1">
    <w:name w:val="正文文本缩进 31"/>
    <w:basedOn w:val="777"/>
    <w:link w:val="1011"/>
    <w:uiPriority w:val="0"/>
    <w:qFormat/>
    <w:pPr>
      <w:ind w:left="359" w:firstLine="359"/>
    </w:pPr>
    <w:rPr>
      <w:sz w:val="20"/>
    </w:rPr>
  </w:style>
  <w:style w:type="character" w:styleId="1011" w:customStyle="1">
    <w:name w:val="正文文本缩进 3 Char"/>
    <w:link w:val="1010"/>
    <w:uiPriority w:val="0"/>
    <w:qFormat/>
    <w:rPr>
      <w:rFonts w:ascii="Times New Roman" w:hAnsi="Times New Roman" w:eastAsia="宋体" w:cs="Times New Roman"/>
      <w:szCs w:val="20"/>
    </w:rPr>
  </w:style>
  <w:style w:type="paragraph" w:styleId="1012" w:customStyle="1">
    <w:name w:val="正文文本 21"/>
    <w:basedOn w:val="777"/>
    <w:link w:val="1013"/>
    <w:uiPriority w:val="0"/>
    <w:qFormat/>
    <w:pPr>
      <w:spacing w:after="120" w:line="480" w:lineRule="auto"/>
    </w:pPr>
    <w:rPr>
      <w:sz w:val="20"/>
    </w:rPr>
  </w:style>
  <w:style w:type="character" w:styleId="1013" w:customStyle="1">
    <w:name w:val="正文文本 2 Char"/>
    <w:link w:val="1012"/>
    <w:uiPriority w:val="0"/>
    <w:qFormat/>
    <w:rPr>
      <w:rFonts w:ascii="Times New Roman" w:hAnsi="Times New Roman" w:eastAsia="宋体" w:cs="Times New Roman"/>
      <w:szCs w:val="20"/>
    </w:rPr>
  </w:style>
  <w:style w:type="paragraph" w:styleId="1014" w:customStyle="1">
    <w:name w:val="普通(网站)1"/>
    <w:basedOn w:val="777"/>
    <w:uiPriority w:val="99"/>
    <w:qFormat/>
    <w:pPr>
      <w:jc w:val="left"/>
      <w:spacing w:before="100" w:beforeAutospacing="1" w:after="100" w:afterAutospacing="1"/>
      <w:widowControl/>
    </w:pPr>
    <w:rPr>
      <w:rFonts w:ascii="宋体" w:hAnsi="宋体" w:cs="宋体"/>
      <w:sz w:val="24"/>
      <w:szCs w:val="24"/>
    </w:rPr>
  </w:style>
  <w:style w:type="paragraph" w:styleId="1015" w:customStyle="1">
    <w:name w:val="批注主题1"/>
    <w:basedOn w:val="991"/>
    <w:next w:val="991"/>
    <w:link w:val="1016"/>
    <w:uiPriority w:val="99"/>
    <w:semiHidden/>
    <w:qFormat/>
    <w:rPr>
      <w:b/>
      <w:bCs/>
    </w:rPr>
  </w:style>
  <w:style w:type="character" w:styleId="1016" w:customStyle="1">
    <w:name w:val="批注主题 Char"/>
    <w:link w:val="1015"/>
    <w:uiPriority w:val="99"/>
    <w:semiHidden/>
    <w:qFormat/>
    <w:rPr>
      <w:rFonts w:ascii="Times New Roman" w:hAnsi="Times New Roman" w:eastAsia="宋体" w:cs="Times New Roman"/>
      <w:b/>
      <w:bCs/>
      <w:szCs w:val="24"/>
    </w:rPr>
  </w:style>
  <w:style w:type="character" w:styleId="1017" w:customStyle="1">
    <w:name w:val="要点1"/>
    <w:uiPriority w:val="99"/>
    <w:qFormat/>
    <w:rPr>
      <w:rFonts w:cs="Times New Roman"/>
      <w:b/>
      <w:bCs/>
    </w:rPr>
  </w:style>
  <w:style w:type="character" w:styleId="1018" w:customStyle="1">
    <w:name w:val="页码1"/>
    <w:uiPriority w:val="0"/>
    <w:qFormat/>
    <w:rPr>
      <w:rFonts w:cs="Times New Roman"/>
    </w:rPr>
  </w:style>
  <w:style w:type="character" w:styleId="1019" w:customStyle="1">
    <w:name w:val="已访问的超链接1"/>
    <w:uiPriority w:val="99"/>
    <w:qFormat/>
    <w:rPr>
      <w:rFonts w:cs="Times New Roman"/>
      <w:color w:val="000000"/>
      <w:u w:val="none"/>
    </w:rPr>
  </w:style>
  <w:style w:type="character" w:styleId="1020" w:customStyle="1">
    <w:name w:val="HTML 打字机1"/>
    <w:uiPriority w:val="99"/>
    <w:qFormat/>
    <w:rPr>
      <w:rFonts w:ascii="宋体" w:hAnsi="宋体" w:eastAsia="宋体" w:cs="宋体"/>
      <w:sz w:val="24"/>
      <w:szCs w:val="24"/>
    </w:rPr>
  </w:style>
  <w:style w:type="character" w:styleId="1021" w:customStyle="1">
    <w:name w:val="超链接1"/>
    <w:uiPriority w:val="0"/>
    <w:qFormat/>
    <w:rPr>
      <w:color w:val="000000"/>
      <w:u w:val="none"/>
    </w:rPr>
  </w:style>
  <w:style w:type="paragraph" w:styleId="1022" w:customStyle="1">
    <w:name w:val="_Style 1"/>
    <w:basedOn w:val="777"/>
    <w:uiPriority w:val="99"/>
    <w:qFormat/>
    <w:pPr>
      <w:ind w:firstLine="420"/>
    </w:pPr>
    <w:rPr>
      <w:rFonts w:ascii="Calibri" w:hAnsi="Calibri" w:cs="Calibri"/>
      <w:sz w:val="34"/>
      <w:szCs w:val="34"/>
    </w:rPr>
  </w:style>
  <w:style w:type="character" w:styleId="1023" w:customStyle="1">
    <w:name w:val="日期 Char1"/>
    <w:uiPriority w:val="0"/>
    <w:semiHidden/>
    <w:qFormat/>
    <w:rPr>
      <w:rFonts w:ascii="Times New Roman" w:hAnsi="Times New Roman" w:eastAsia="宋体" w:cs="Times New Roman"/>
      <w:szCs w:val="20"/>
    </w:rPr>
  </w:style>
  <w:style w:type="character" w:styleId="1024" w:customStyle="1">
    <w:name w:val="正文文本缩进 Char1"/>
    <w:uiPriority w:val="0"/>
    <w:semiHidden/>
    <w:qFormat/>
    <w:rPr>
      <w:rFonts w:ascii="Times New Roman" w:hAnsi="Times New Roman" w:eastAsia="宋体" w:cs="Times New Roman"/>
      <w:szCs w:val="20"/>
    </w:rPr>
  </w:style>
  <w:style w:type="character" w:styleId="1025" w:customStyle="1">
    <w:name w:val="正文文本缩进 2 Char1"/>
    <w:uiPriority w:val="0"/>
    <w:semiHidden/>
    <w:qFormat/>
    <w:rPr>
      <w:rFonts w:ascii="Times New Roman" w:hAnsi="Times New Roman" w:eastAsia="宋体" w:cs="Times New Roman"/>
      <w:szCs w:val="20"/>
    </w:rPr>
  </w:style>
  <w:style w:type="character" w:styleId="1026" w:customStyle="1">
    <w:name w:val="正文文本缩进 3 Char1"/>
    <w:uiPriority w:val="0"/>
    <w:semiHidden/>
    <w:qFormat/>
    <w:rPr>
      <w:rFonts w:ascii="Times New Roman" w:hAnsi="Times New Roman" w:eastAsia="宋体" w:cs="Times New Roman"/>
      <w:sz w:val="16"/>
      <w:szCs w:val="16"/>
    </w:rPr>
  </w:style>
  <w:style w:type="paragraph" w:styleId="1027" w:customStyle="1">
    <w:name w:val="普通文字"/>
    <w:basedOn w:val="777"/>
    <w:next w:val="777"/>
    <w:uiPriority w:val="0"/>
    <w:qFormat/>
    <w:rPr>
      <w:rFonts w:ascii="宋体"/>
      <w:sz w:val="24"/>
    </w:rPr>
  </w:style>
  <w:style w:type="character" w:styleId="1028" w:customStyle="1">
    <w:name w:val="文档结构图 Char1"/>
    <w:uiPriority w:val="0"/>
    <w:semiHidden/>
    <w:qFormat/>
    <w:rPr>
      <w:rFonts w:ascii="宋体" w:hAnsi="Times New Roman" w:eastAsia="宋体" w:cs="Times New Roman"/>
      <w:sz w:val="18"/>
      <w:szCs w:val="18"/>
    </w:rPr>
  </w:style>
  <w:style w:type="character" w:styleId="1029" w:customStyle="1">
    <w:name w:val="正文文本 2 Char1"/>
    <w:uiPriority w:val="0"/>
    <w:semiHidden/>
    <w:qFormat/>
    <w:rPr>
      <w:rFonts w:ascii="Times New Roman" w:hAnsi="Times New Roman" w:eastAsia="宋体" w:cs="Times New Roman"/>
      <w:szCs w:val="20"/>
    </w:rPr>
  </w:style>
  <w:style w:type="paragraph" w:styleId="1030" w:customStyle="1">
    <w:name w:val="列出段落"/>
    <w:basedOn w:val="777"/>
    <w:uiPriority w:val="34"/>
    <w:qFormat/>
    <w:pPr>
      <w:ind w:firstLine="420"/>
    </w:pPr>
  </w:style>
  <w:style w:type="character" w:styleId="1031" w:customStyle="1">
    <w:name w:val="批注框文本 Char1"/>
    <w:uiPriority w:val="99"/>
    <w:semiHidden/>
    <w:qFormat/>
    <w:rPr>
      <w:rFonts w:ascii="Times New Roman" w:hAnsi="Times New Roman" w:eastAsia="宋体" w:cs="Times New Roman"/>
      <w:sz w:val="18"/>
      <w:szCs w:val="18"/>
    </w:rPr>
  </w:style>
  <w:style w:type="paragraph" w:styleId="1032" w:customStyle="1">
    <w:name w:val="样式 小四 段前: 5 磅 段后: 5 磅 首行缩进:  2 字符"/>
    <w:basedOn w:val="777"/>
    <w:uiPriority w:val="0"/>
    <w:qFormat/>
    <w:pPr>
      <w:jc w:val="center"/>
      <w:spacing w:line="360" w:lineRule="auto"/>
    </w:pPr>
    <w:rPr>
      <w:rFonts w:ascii="宋体" w:hAnsi="宋体"/>
      <w:bCs/>
      <w:color w:val="ff0000"/>
      <w:sz w:val="24"/>
      <w:szCs w:val="24"/>
    </w:rPr>
  </w:style>
  <w:style w:type="character" w:styleId="1033" w:customStyle="1">
    <w:name w:val="正文首行缩进两字 Char"/>
    <w:link w:val="1034"/>
    <w:uiPriority w:val="0"/>
    <w:qFormat/>
    <w:rPr>
      <w:sz w:val="24"/>
      <w:szCs w:val="24"/>
      <w:lang w:val="en-US" w:eastAsia="zh-CN" w:bidi="ar-SA"/>
    </w:rPr>
  </w:style>
  <w:style w:type="paragraph" w:styleId="1034" w:customStyle="1">
    <w:name w:val="正文首行缩进两字"/>
    <w:link w:val="1033"/>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paragraph" w:styleId="1035" w:customStyle="1">
    <w:name w:val="p0 paragraphindent"/>
    <w:basedOn w:val="777"/>
    <w:uiPriority w:val="0"/>
    <w:qFormat/>
    <w:pPr>
      <w:jc w:val="left"/>
      <w:spacing w:before="100" w:beforeAutospacing="1" w:after="100" w:afterAutospacing="1"/>
      <w:widowControl/>
    </w:pPr>
    <w:rPr>
      <w:rFonts w:ascii="宋体" w:hAnsi="宋体" w:cs="宋体"/>
      <w:sz w:val="24"/>
      <w:szCs w:val="24"/>
    </w:rPr>
  </w:style>
  <w:style w:type="paragraph" w:styleId="1036" w:customStyle="1">
    <w:name w:val="一级条标题"/>
    <w:next w:val="777"/>
    <w:uiPriority w:val="0"/>
    <w:qFormat/>
    <w:pPr>
      <w:ind w:left="552" w:hanging="420"/>
      <w:tabs>
        <w:tab w:val="left" w:pos="552" w:leader="none"/>
      </w:tabs>
      <w:outlineLvl w:val="2"/>
    </w:pPr>
    <w:rPr>
      <w:rFonts w:ascii="黑体" w:hAnsi="Times New Roman" w:eastAsia="黑体" w:cs="Times New Roman"/>
      <w:sz w:val="21"/>
      <w:szCs w:val="21"/>
      <w:lang w:val="en-US" w:eastAsia="zh-CN" w:bidi="ar-SA"/>
    </w:rPr>
  </w:style>
  <w:style w:type="paragraph" w:styleId="1037" w:customStyle="1">
    <w:name w:val="字母编号列项（一级）"/>
    <w:uiPriority w:val="0"/>
    <w:qFormat/>
    <w:pPr>
      <w:ind w:left="552" w:hanging="420"/>
      <w:jc w:val="both"/>
      <w:tabs>
        <w:tab w:val="left" w:pos="552" w:leader="none"/>
        <w:tab w:val="left" w:pos="840" w:leader="none"/>
      </w:tabs>
    </w:pPr>
    <w:rPr>
      <w:rFonts w:ascii="宋体" w:hAnsi="Times New Roman" w:eastAsia="宋体" w:cs="Times New Roman"/>
      <w:sz w:val="21"/>
      <w:lang w:val="en-US" w:eastAsia="zh-CN" w:bidi="ar-SA"/>
    </w:rPr>
  </w:style>
  <w:style w:type="paragraph" w:styleId="1038" w:customStyle="1">
    <w:name w:val="二级无"/>
    <w:basedOn w:val="777"/>
    <w:uiPriority w:val="0"/>
    <w:qFormat/>
    <w:pPr>
      <w:ind w:left="552" w:hanging="420"/>
      <w:jc w:val="left"/>
      <w:widowControl/>
      <w:tabs>
        <w:tab w:val="left" w:pos="552" w:leader="none"/>
      </w:tabs>
      <w:outlineLvl w:val="3"/>
    </w:pPr>
    <w:rPr>
      <w:rFonts w:ascii="宋体"/>
      <w:szCs w:val="21"/>
    </w:rPr>
  </w:style>
  <w:style w:type="character" w:styleId="1039" w:customStyle="1">
    <w:name w:val="case31"/>
    <w:uiPriority w:val="0"/>
    <w:qFormat/>
    <w:rPr>
      <w:spacing w:val="390"/>
      <w:sz w:val="21"/>
      <w:szCs w:val="21"/>
    </w:rPr>
  </w:style>
  <w:style w:type="character" w:styleId="1040" w:customStyle="1">
    <w:name w:val="NormalCharacter1"/>
    <w:link w:val="1041"/>
    <w:uiPriority w:val="99"/>
    <w:qFormat/>
    <w:rPr>
      <w:sz w:val="20"/>
    </w:rPr>
  </w:style>
  <w:style w:type="paragraph" w:styleId="1041" w:customStyle="1">
    <w:name w:val="UserStyle_4"/>
    <w:basedOn w:val="777"/>
    <w:link w:val="1040"/>
    <w:uiPriority w:val="99"/>
    <w:qFormat/>
    <w:pPr>
      <w:widowControl/>
    </w:pPr>
    <w:rPr>
      <w:sz w:val="20"/>
    </w:rPr>
  </w:style>
  <w:style w:type="paragraph" w:styleId="1042" w:customStyle="1">
    <w:name w:val="List Paragraph1"/>
    <w:basedOn w:val="777"/>
    <w:uiPriority w:val="0"/>
    <w:qFormat/>
    <w:pPr>
      <w:ind w:firstLine="420"/>
    </w:pPr>
    <w:rPr>
      <w:szCs w:val="21"/>
    </w:rPr>
  </w:style>
  <w:style w:type="paragraph" w:styleId="104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44" w:customStyle="1">
    <w:name w:val="列出段落1"/>
    <w:basedOn w:val="777"/>
    <w:uiPriority w:val="0"/>
    <w:qFormat/>
    <w:pPr>
      <w:ind w:firstLine="420"/>
    </w:pPr>
    <w:rPr>
      <w:rFonts w:ascii="Calibri" w:hAnsi="Calibri"/>
    </w:rPr>
  </w:style>
  <w:style w:type="paragraph" w:styleId="1045" w:customStyle="1">
    <w:name w:val="段"/>
    <w:next w:val="777"/>
    <w:uiPriority w:val="99"/>
    <w:qFormat/>
    <w:pPr>
      <w:ind w:firstLine="200"/>
      <w:jc w:val="both"/>
    </w:pPr>
    <w:rPr>
      <w:rFonts w:ascii="宋体" w:hAnsi="Times New Roman" w:eastAsia="Times New Roman" w:cs="Times New Roman"/>
      <w:sz w:val="21"/>
      <w:lang w:val="en-US" w:eastAsia="zh-CN" w:bidi="ar-SA"/>
    </w:rPr>
  </w:style>
  <w:style w:type="paragraph" w:styleId="1046" w:customStyle="1">
    <w:name w:val="标题 61"/>
    <w:basedOn w:val="777"/>
    <w:next w:val="777"/>
    <w:uiPriority w:val="0"/>
    <w:qFormat/>
    <w:pPr>
      <w:ind w:left="102"/>
      <w:jc w:val="left"/>
      <w:outlineLvl w:val="5"/>
    </w:pPr>
    <w:rPr>
      <w:rFonts w:ascii="黑体" w:hAnsi="黑体" w:eastAsia="黑体"/>
      <w:sz w:val="28"/>
      <w:szCs w:val="28"/>
      <w:lang w:eastAsia="en-US"/>
    </w:rPr>
  </w:style>
  <w:style w:type="character" w:styleId="1047" w:customStyle="1">
    <w:name w:val="正文文本首行缩进 字符"/>
    <w:link w:val="790"/>
    <w:uiPriority w:val="0"/>
    <w:qFormat/>
    <w:rPr>
      <w:rFonts w:ascii="Times New Roman" w:eastAsia="宋体"/>
      <w:sz w:val="21"/>
    </w:rPr>
  </w:style>
  <w:style w:type="character" w:styleId="1048" w:customStyle="1">
    <w:name w:val="font81"/>
    <w:basedOn w:val="787"/>
    <w:uiPriority w:val="0"/>
    <w:qFormat/>
    <w:rPr>
      <w:rFonts w:hint="eastAsia" w:ascii="宋体" w:hAnsi="宋体" w:eastAsia="宋体" w:cs="宋体"/>
      <w:b/>
      <w:bCs/>
      <w:color w:val="000000"/>
      <w:sz w:val="44"/>
      <w:szCs w:val="44"/>
      <w:u w:val="none"/>
    </w:rPr>
  </w:style>
  <w:style w:type="character" w:styleId="1049" w:customStyle="1">
    <w:name w:val="font51"/>
    <w:basedOn w:val="787"/>
    <w:uiPriority w:val="0"/>
    <w:qFormat/>
    <w:rPr>
      <w:rFonts w:hint="eastAsia" w:ascii="宋体" w:hAnsi="宋体" w:eastAsia="宋体" w:cs="宋体"/>
      <w:color w:val="000000"/>
      <w:sz w:val="22"/>
      <w:szCs w:val="22"/>
      <w:u w:val="none"/>
    </w:rPr>
  </w:style>
  <w:style w:type="character" w:styleId="1050" w:customStyle="1">
    <w:name w:val="font71"/>
    <w:basedOn w:val="787"/>
    <w:uiPriority w:val="0"/>
    <w:qFormat/>
    <w:rPr>
      <w:rFonts w:hint="eastAsia" w:ascii="宋体" w:hAnsi="宋体" w:eastAsia="宋体" w:cs="宋体"/>
      <w:color w:val="000000"/>
      <w:sz w:val="22"/>
      <w:szCs w:val="22"/>
      <w:u w:val="none"/>
    </w:rPr>
  </w:style>
  <w:style w:type="character" w:styleId="1051" w:customStyle="1">
    <w:name w:val="font61"/>
    <w:basedOn w:val="787"/>
    <w:uiPriority w:val="0"/>
    <w:qFormat/>
    <w:rPr>
      <w:rFonts w:hint="eastAsia" w:ascii="宋体" w:hAnsi="宋体" w:eastAsia="宋体" w:cs="宋体"/>
      <w:color w:val="ff0000"/>
      <w:sz w:val="22"/>
      <w:szCs w:val="22"/>
      <w:u w:val="none"/>
    </w:rPr>
  </w:style>
  <w:style w:type="paragraph" w:styleId="1052" w:customStyle="1">
    <w:name w:val="Table Paragraph"/>
    <w:basedOn w:val="777"/>
    <w:uiPriority w:val="0"/>
    <w:qFormat/>
    <w:pPr>
      <w:jc w:val="left"/>
    </w:pPr>
    <w:rPr>
      <w:rFonts w:ascii="Calibri" w:hAnsi="Calibri"/>
      <w:sz w:val="22"/>
      <w:szCs w:val="22"/>
      <w:lang w:eastAsia="en-US"/>
    </w:rPr>
  </w:style>
  <w:style w:type="paragraph" w:styleId="1053" w:customStyle="1">
    <w:name w:val="列表1"/>
    <w:basedOn w:val="777"/>
    <w:uiPriority w:val="0"/>
    <w:qFormat/>
    <w:pPr>
      <w:numPr>
        <w:ilvl w:val="0"/>
        <w:numId w:val="2"/>
      </w:numPr>
      <w:spacing w:after="20" w:line="288" w:lineRule="auto"/>
    </w:pPr>
    <w:rPr>
      <w:lang w:val="en-GB"/>
    </w:rPr>
  </w:style>
  <w:style w:type="paragraph" w:styleId="1054" w:customStyle="1">
    <w:name w:val="目录 21"/>
    <w:basedOn w:val="777"/>
    <w:next w:val="777"/>
    <w:uiPriority w:val="39"/>
    <w:unhideWhenUsed/>
    <w:qFormat/>
    <w:pPr>
      <w:ind w:left="283"/>
      <w:spacing w:after="57"/>
    </w:pPr>
  </w:style>
  <w:style w:type="paragraph" w:styleId="1055" w:customStyle="1">
    <w:name w:val="正文文本2"/>
    <w:basedOn w:val="777"/>
    <w:uiPriority w:val="0"/>
    <w:qFormat/>
    <w:rPr>
      <w:rFonts w:ascii="仿宋_GB2312" w:eastAsia="仿宋_GB2312"/>
      <w:sz w:val="28"/>
    </w:rPr>
  </w:style>
  <w:style w:type="paragraph" w:styleId="1056" w:customStyle="1">
    <w:name w:val="*正文"/>
    <w:basedOn w:val="777"/>
    <w:uiPriority w:val="0"/>
    <w:qFormat/>
    <w:pPr>
      <w:ind w:firstLine="200"/>
    </w:pPr>
    <w:rPr>
      <w:sz w:val="24"/>
      <w:szCs w:val="28"/>
    </w:rPr>
  </w:style>
  <w:style w:type="character" w:styleId="1057" w:customStyle="1">
    <w:name w:val="fontstyle01"/>
    <w:basedOn w:val="787"/>
    <w:uiPriority w:val="0"/>
    <w:qFormat/>
    <w:rPr>
      <w:rFonts w:hint="eastAsia" w:ascii="宋体" w:hAnsi="宋体" w:eastAsia="宋体"/>
      <w:color w:val="000000"/>
      <w:sz w:val="24"/>
      <w:szCs w:val="24"/>
    </w:rPr>
  </w:style>
  <w:style w:type="character" w:styleId="1058" w:customStyle="1">
    <w:name w:val="font41"/>
    <w:basedOn w:val="787"/>
    <w:uiPriority w:val="0"/>
    <w:qFormat/>
    <w:rPr>
      <w:rFonts w:hint="default" w:ascii="Times New Roman" w:hAnsi="Times New Roman" w:cs="Times New Roman"/>
      <w:color w:val="000000"/>
      <w:sz w:val="20"/>
      <w:szCs w:val="20"/>
      <w:u w:val="none"/>
    </w:rPr>
  </w:style>
  <w:style w:type="character" w:styleId="1059" w:customStyle="1">
    <w:name w:val="font31"/>
    <w:basedOn w:val="787"/>
    <w:uiPriority w:val="0"/>
    <w:qFormat/>
    <w:rPr>
      <w:rFonts w:hint="eastAsia" w:ascii="宋体" w:hAnsi="宋体" w:eastAsia="宋体" w:cs="宋体"/>
      <w:color w:val="0f1115"/>
      <w:sz w:val="20"/>
      <w:szCs w:val="20"/>
      <w:u w:val="none"/>
    </w:rPr>
  </w:style>
  <w:style w:type="character" w:styleId="1060" w:customStyle="1">
    <w:name w:val="font11"/>
    <w:uiPriority w:val="0"/>
    <w:qFormat/>
    <w:rPr>
      <w:rFonts w:hint="eastAsia" w:ascii="宋体" w:hAnsi="宋体" w:eastAsia="宋体" w:cs="宋体"/>
      <w:color w:val="000000"/>
      <w:sz w:val="20"/>
      <w:szCs w:val="20"/>
      <w:u w:val="none"/>
    </w:rPr>
  </w:style>
  <w:style w:type="paragraph" w:styleId="1061" w:customStyle="1">
    <w:name w:val="纯文本1"/>
    <w:basedOn w:val="777"/>
    <w:uiPriority w:val="0"/>
    <w:qFormat/>
    <w:rPr>
      <w:rFonts w:ascii="宋体" w:hAnsi="Courier New"/>
      <w:sz w:val="20"/>
    </w:rPr>
  </w:style>
  <w:style w:type="paragraph" w:styleId="1062" w:customStyle="1">
    <w:name w:val="Revision"/>
    <w:hidden/>
    <w:uiPriority w:val="99"/>
    <w:unhideWhenUsed/>
    <w:qFormat/>
    <w:rPr>
      <w:rFonts w:ascii="Times New Roman" w:hAnsi="Times New Roman" w:eastAsia="宋体" w:cs="Times New Roman"/>
      <w:sz w:val="21"/>
      <w:lang w:val="en-US" w:eastAsia="zh-CN" w:bidi="ar-SA"/>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3945c2d8-d083-41ce-808d-4c4be022de62</errorID>
      <errorWord>:</errorWord>
      <group>L1_Format</group>
      <groupName>格式问题</groupName>
      <ability>L2_HalfPunc_CN</ability>
      <abilityName>全半角检查</abilityName>
      <candidateList>
        <item>：</item>
      </candidateList>
      <explain>文本全半角错误。</explain>
      <paraID>5EFD0459</paraID>
      <start>5</start>
      <end>6</end>
      <status>unmodified</status>
      <modifiedWord/>
      <trackRevisions>false</trackRevisions>
    </reviewItem>
    <reviewItem>
      <errorID>2b1ccc8b-ebfc-485b-888a-827d5a9b22e1</errorID>
      <errorWord>:</errorWord>
      <group>L1_Format</group>
      <groupName>格式问题</groupName>
      <ability>L2_HalfPunc_CN</ability>
      <abilityName>全半角检查</abilityName>
      <candidateList>
        <item>：</item>
      </candidateList>
      <explain>文本全半角错误。</explain>
      <paraID>67F31700</paraID>
      <start>15</start>
      <end>16</end>
      <status>unmodified</status>
      <modifiedWord/>
      <trackRevisions>false</trackRevisions>
    </reviewItem>
    <reviewItem>
      <errorID>4fa60b94-136d-46c4-89e1-969547c1e316</errorID>
      <errorWord>（</errorWord>
      <group>L1_Punc</group>
      <groupName>标点问题</groupName>
      <ability>L2_Punc_CN</ability>
      <abilityName>标点符号检查</abilityName>
      <candidateList/>
      <explain>同一形式括号套用。</explain>
      <paraID>73C658F4</paraID>
      <start>54</start>
      <end>55</end>
      <status>unmodified</status>
      <modifiedWord/>
      <trackRevisions>false</trackRevisions>
    </reviewItem>
    <reviewItem>
      <errorID>74ad5d6f-034c-4541-aa19-3cf21c4015ee</errorID>
      <errorWord>）</errorWord>
      <group>L1_Punc</group>
      <groupName>标点问题</groupName>
      <ability>L2_Punc_CN</ability>
      <abilityName>标点符号检查</abilityName>
      <candidateList/>
      <explain>同一形式括号套用。</explain>
      <paraID>73C658F4</paraID>
      <start>71</start>
      <end>72</end>
      <status>unmodified</status>
      <modifiedWord/>
      <trackRevisions>false</trackRevisions>
    </reviewItem>
    <reviewItem>
      <errorID>d5063fd2-81ad-4060-acc1-ce7311bd27d3</errorID>
      <errorWord>如是</errorWord>
      <group>L1_Word</group>
      <groupName>字词问题</groupName>
      <ability>L2_Typo</ability>
      <abilityName>字词错误</abilityName>
      <candidateList>
        <item>如</item>
      </candidateList>
      <explain/>
      <paraID>6C54BCF3</paraID>
      <start>51</start>
      <end>53</end>
      <status>unmodified</status>
      <modifiedWord/>
      <trackRevisions>false</trackRevisions>
    </reviewItem>
    <reviewItem>
      <errorID>b7b20060-c9e1-4c2b-82af-5c2fb28058c6</errorID>
      <errorWord>如是</errorWord>
      <group>L1_Word</group>
      <groupName>字词问题</groupName>
      <ability>L2_Typo</ability>
      <abilityName>字词错误</abilityName>
      <candidateList>
        <item>如</item>
      </candidateList>
      <explain/>
      <paraID> 9E1ABB2</paraID>
      <start>46</start>
      <end>48</end>
      <status>unmodified</status>
      <modifiedWord/>
      <trackRevisions>false</trackRevisions>
    </reviewItem>
    <reviewItem>
      <errorID>37798d86-9670-49b8-b351-619cc4027fe0</errorID>
      <errorWord>-</errorWord>
      <group>L1_Format</group>
      <groupName>格式问题</groupName>
      <ability>L2_HalfPunc_CN</ability>
      <abilityName>全半角检查</abilityName>
      <candidateList>
        <item>－</item>
      </candidateList>
      <explain>文本全半角错误。</explain>
      <paraID>416FE7E8</paraID>
      <start>39</start>
      <end>40</end>
      <status>unmodified</status>
      <modifiedWord/>
      <trackRevisions>false</trackRevisions>
    </reviewItem>
    <reviewItem>
      <errorID>d552c408-1832-4388-bec7-180ed336aa2c</errorID>
      <errorWord>-</errorWord>
      <group>L1_Format</group>
      <groupName>格式问题</groupName>
      <ability>L2_HalfPunc_CN</ability>
      <abilityName>全半角检查</abilityName>
      <candidateList>
        <item>－</item>
      </candidateList>
      <explain>文本全半角错误。</explain>
      <paraID>416FE7E8</paraID>
      <start>40</start>
      <end>41</end>
      <status>unmodified</status>
      <modifiedWord/>
      <trackRevisions>false</trackRevisions>
    </reviewItem>
    <reviewItem>
      <errorID>06416351-a0e4-4d41-9159-fdc0b0ff5712</errorID>
      <errorWord>-</errorWord>
      <group>L1_Format</group>
      <groupName>格式问题</groupName>
      <ability>L2_HalfPunc_CN</ability>
      <abilityName>全半角检查</abilityName>
      <candidateList>
        <item>－</item>
      </candidateList>
      <explain>文本全半角错误。</explain>
      <paraID>416FE7E8</paraID>
      <start>115</start>
      <end>116</end>
      <status>unmodified</status>
      <modifiedWord/>
      <trackRevisions>false</trackRevisions>
    </reviewItem>
    <reviewItem>
      <errorID>3e7a3c2a-5d23-432a-b5ac-83e1a6bea218</errorID>
      <errorWord>-</errorWord>
      <group>L1_Format</group>
      <groupName>格式问题</groupName>
      <ability>L2_HalfPunc_CN</ability>
      <abilityName>全半角检查</abilityName>
      <candidateList>
        <item>－</item>
      </candidateList>
      <explain>文本全半角错误。</explain>
      <paraID>416FE7E8</paraID>
      <start>116</start>
      <end>117</end>
      <status>unmodified</status>
      <modifiedWord/>
      <trackRevisions>false</trackRevisions>
    </reviewItem>
    <reviewItem>
      <errorID>19d67968-2f3b-4e81-82bf-e2f468a58212</errorID>
      <errorWord>-</errorWord>
      <group>L1_Format</group>
      <groupName>格式问题</groupName>
      <ability>L2_HalfPunc_CN</ability>
      <abilityName>全半角检查</abilityName>
      <candidateList>
        <item>－</item>
      </candidateList>
      <explain>文本全半角错误。</explain>
      <paraID>416FE7E8</paraID>
      <start>123</start>
      <end>124</end>
      <status>unmodified</status>
      <modifiedWord/>
      <trackRevisions>false</trackRevisions>
    </reviewItem>
    <reviewItem>
      <errorID>541878a3-ec81-48c2-9d06-1dbcfd66ad4b</errorID>
      <errorWord>-</errorWord>
      <group>L1_Format</group>
      <groupName>格式问题</groupName>
      <ability>L2_HalfPunc_CN</ability>
      <abilityName>全半角检查</abilityName>
      <candidateList>
        <item>－</item>
      </candidateList>
      <explain>文本全半角错误。</explain>
      <paraID>416FE7E8</paraID>
      <start>124</start>
      <end>125</end>
      <status>unmodified</status>
      <modifiedWord/>
      <trackRevisions>false</trackRevisions>
    </reviewItem>
    <reviewItem>
      <errorID>e5a487e4-ac00-47c0-85d4-cfd6af612998</errorID>
      <errorWord>-</errorWord>
      <group>L1_Format</group>
      <groupName>格式问题</groupName>
      <ability>L2_HalfPunc_CN</ability>
      <abilityName>全半角检查</abilityName>
      <candidateList>
        <item>－</item>
      </candidateList>
      <explain>文本全半角错误。</explain>
      <paraID> 66FFE26</paraID>
      <start>48</start>
      <end>49</end>
      <status>unmodified</status>
      <modifiedWord/>
      <trackRevisions>false</trackRevisions>
    </reviewItem>
    <reviewItem>
      <errorID>e311945e-66c8-44a5-8e97-08a99d054cfd</errorID>
      <errorWord>-</errorWord>
      <group>L1_Format</group>
      <groupName>格式问题</groupName>
      <ability>L2_HalfPunc_CN</ability>
      <abilityName>全半角检查</abilityName>
      <candidateList>
        <item>－</item>
      </candidateList>
      <explain>文本全半角错误。</explain>
      <paraID> 66FFE26</paraID>
      <start>49</start>
      <end>50</end>
      <status>unmodified</status>
      <modifiedWord/>
      <trackRevisions>false</trackRevisions>
    </reviewItem>
    <reviewItem>
      <errorID>104a9816-5868-4991-8812-a4d2bf23c5a9</errorID>
      <errorWord>-</errorWord>
      <group>L1_Format</group>
      <groupName>格式问题</groupName>
      <ability>L2_HalfPunc_CN</ability>
      <abilityName>全半角检查</abilityName>
      <candidateList>
        <item>－</item>
      </candidateList>
      <explain>文本全半角错误。</explain>
      <paraID> 66FFE26</paraID>
      <start>55</start>
      <end>56</end>
      <status>unmodified</status>
      <modifiedWord/>
      <trackRevisions>false</trackRevisions>
    </reviewItem>
    <reviewItem>
      <errorID>754acabc-19ab-4535-a2d9-f771b0314a8a</errorID>
      <errorWord>-</errorWord>
      <group>L1_Format</group>
      <groupName>格式问题</groupName>
      <ability>L2_HalfPunc_CN</ability>
      <abilityName>全半角检查</abilityName>
      <candidateList>
        <item>－</item>
      </candidateList>
      <explain>文本全半角错误。</explain>
      <paraID> 66FFE26</paraID>
      <start>56</start>
      <end>57</end>
      <status>unmodified</status>
      <modifiedWord/>
      <trackRevisions>false</trackRevisions>
    </reviewItem>
    <reviewItem>
      <errorID>c93ddf91-73eb-4732-b147-79447970f3c4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6B097928</paraID>
      <start>87</start>
      <end>88</end>
      <status>unmodified</status>
      <modifiedWord/>
      <trackRevisions>false</trackRevisions>
    </reviewItem>
    <reviewItem>
      <errorID>dad58736-2eb8-4996-a12b-7b1edab1a834</errorID>
      <errorWord>(</errorWord>
      <group>L1_Format</group>
      <groupName>格式问题</groupName>
      <ability>L2_HalfPunc_CN</ability>
      <abilityName>全半角检查</abilityName>
      <candidateList>
        <item>（</item>
      </candidateList>
      <explain>文本全半角错误。</explain>
      <paraID>6B097928</paraID>
      <start>162</start>
      <end>163</end>
      <status>unmodified</status>
      <modifiedWord/>
      <trackRevisions>false</trackRevisions>
    </reviewItem>
    <reviewItem>
      <errorID>0bbce89c-2287-42ea-a9bb-f136dfe5912e</errorID>
      <errorWord>)</errorWord>
      <group>L1_Format</group>
      <groupName>格式问题</groupName>
      <ability>L2_HalfPunc_CN</ability>
      <abilityName>全半角检查</abilityName>
      <candidateList>
        <item>）</item>
      </candidateList>
      <explain>文本全半角错误。</explain>
      <paraID>6B097928</paraID>
      <start>173</start>
      <end>174</end>
      <status>unmodified</status>
      <modifiedWord/>
      <trackRevisions>false</trackRevisions>
    </reviewItem>
    <reviewItem>
      <errorID>daa07ad2-6dea-4075-ba0d-63f436746097</errorID>
      <errorWord>导入到</errorWord>
      <group>L1_Word</group>
      <groupName>字词问题</groupName>
      <ability>L2_Typo</ability>
      <abilityName>字词错误</abilityName>
      <candidateList>
        <item>导入</item>
      </candidateList>
      <explain/>
      <paraID>6B097928</paraID>
      <start>174</start>
      <end>177</end>
      <status>unmodified</status>
      <modifiedWord/>
      <trackRevisions>false</trackRevisions>
    </reviewItem>
    <reviewItem>
      <errorID>06e78051-95cc-4400-b79d-eccd2ee3bd4c</errorID>
      <errorWord>(</errorWord>
      <group>L1_Format</group>
      <groupName>格式问题</groupName>
      <ability>L2_HalfPunc_CN</ability>
      <abilityName>全半角检查</abilityName>
      <candidateList>
        <item>（</item>
      </candidateList>
      <explain>文本全半角错误。</explain>
      <paraID>6B097928</paraID>
      <start>201</start>
      <end>202</end>
      <status>unmodified</status>
      <modifiedWord/>
      <trackRevisions>false</trackRevisions>
    </reviewItem>
    <reviewItem>
      <errorID>80bf9efb-9c9f-4e4c-87e8-1b7e57c93686</errorID>
      <errorWord>)</errorWord>
      <group>L1_Format</group>
      <groupName>格式问题</groupName>
      <ability>L2_HalfPunc_CN</ability>
      <abilityName>全半角检查</abilityName>
      <candidateList>
        <item>）</item>
      </candidateList>
      <explain>文本全半角错误。</explain>
      <paraID>6B097928</paraID>
      <start>212</start>
      <end>213</end>
      <status>unmodified</status>
      <modifiedWord/>
      <trackRevisions>false</trackRevisions>
    </reviewItem>
    <reviewItem>
      <errorID>697757fc-ed1e-4815-90ca-c505a2c6184b</errorID>
      <errorWord>2026年06月18日</errorWord>
      <group>L1_Knowledge</group>
      <groupName>知识性问题</groupName>
      <ability>L2_Time</ability>
      <abilityName>日期时间</abilityName>
      <candidateList>
        <item>2026年6月18日</item>
      </candidateList>
      <explain>根据日常书写习惯，月份一般会省略前导零。</explain>
      <paraID> FDF03C6</paraID>
      <start>47</start>
      <end>58</end>
      <status>unmodified</status>
      <modifiedWord/>
      <trackRevisions>false</trackRevisions>
    </reviewItem>
    <reviewItem>
      <errorID>b7f50e1f-3097-4c8f-ba74-39db3b941820</errorID>
      <errorWord>2026年07月06日</errorWord>
      <group>L1_Knowledge</group>
      <groupName>知识性问题</groupName>
      <ability>L2_Time</ability>
      <abilityName>日期时间</abilityName>
      <candidateList>
        <item>2026年7月6日</item>
      </candidateList>
      <explain>根据日常书写习惯，月份和日期一般会省略前导零。</explain>
      <paraID>63262D35</paraID>
      <start>9</start>
      <end>20</end>
      <status>unmodified</status>
      <modifiedWord/>
      <trackRevisions>false</trackRevisions>
    </reviewItem>
    <reviewItem>
      <errorID>33afbd48-eccf-4238-a85d-a3b3162e1d4d</errorID>
      <errorWord>2026年07月06日</errorWord>
      <group>L1_Knowledge</group>
      <groupName>知识性问题</groupName>
      <ability>L2_Time</ability>
      <abilityName>日期时间</abilityName>
      <candidateList>
        <item>2026年7月6日</item>
      </candidateList>
      <explain>根据日常书写习惯，月份和日期一般会省略前导零。</explain>
      <paraID>4AA147D5</paraID>
      <start>9</start>
      <end>20</end>
      <status>unmodified</status>
      <modifiedWord/>
      <trackRevisions>false</trackRevisions>
    </reviewItem>
    <reviewItem>
      <errorID>8e46c741-434e-4be3-9617-f5a22e05dace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6136DB14</paraID>
      <start>0</start>
      <end>2</end>
      <status>unmodified</status>
      <modifiedWord/>
      <trackRevisions>false</trackRevisions>
    </reviewItem>
    <reviewItem>
      <errorID>23a097c7-b91d-42cf-88ab-cf72900caf1e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107F72D3</paraID>
      <start>0</start>
      <end>2</end>
      <status>unmodified</status>
      <modifiedWord/>
      <trackRevisions>false</trackRevisions>
    </reviewItem>
    <reviewItem>
      <errorID>497bda8b-a9e2-4db4-8559-8f403b8b9fa8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464B2FE</paraID>
      <start>0</start>
      <end>2</end>
      <status>unmodified</status>
      <modifiedWord/>
      <trackRevisions>false</trackRevisions>
    </reviewItem>
    <reviewItem>
      <errorID>a7703c2c-c81e-4150-bf8a-6ae03ea882d7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26335F71</paraID>
      <start>0</start>
      <end>2</end>
      <status>unmodified</status>
      <modifiedWord/>
      <trackRevisions>false</trackRevisions>
    </reviewItem>
    <reviewItem>
      <errorID>330fe6dd-982d-486d-bdf9-dede09803e92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27F37782</paraID>
      <start>0</start>
      <end>2</end>
      <status>unmodified</status>
      <modifiedWord/>
      <trackRevisions>false</trackRevisions>
    </reviewItem>
    <reviewItem>
      <errorID>f4307ec5-4c66-44fa-bc0d-41ef800afc44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423C899F</paraID>
      <start>0</start>
      <end>2</end>
      <status>unmodified</status>
      <modifiedWord/>
      <trackRevisions>false</trackRevisions>
    </reviewItem>
    <reviewItem>
      <errorID>8e35e6e8-5886-4c8e-b6b3-9126961c58c8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277878F9</paraID>
      <start>0</start>
      <end>2</end>
      <status>unmodified</status>
      <modifiedWord/>
      <trackRevisions>false</trackRevisions>
    </reviewItem>
    <reviewItem>
      <errorID>00959aa1-c74d-423d-a764-a81a2857bbcc</errorID>
      <errorWord>如是</errorWord>
      <group>L1_Word</group>
      <groupName>字词问题</groupName>
      <ability>L2_Typo</ability>
      <abilityName>字词错误</abilityName>
      <candidateList>
        <item>如</item>
      </candidateList>
      <explain/>
      <paraID> A129E49</paraID>
      <start>51</start>
      <end>53</end>
      <status>unmodified</status>
      <modifiedWord/>
      <trackRevisions>false</trackRevisions>
    </reviewItem>
    <reviewItem>
      <errorID>b21d283c-8dfe-446f-a569-5d434e01eb4d</errorID>
      <errorWord>如是</errorWord>
      <group>L1_Word</group>
      <groupName>字词问题</groupName>
      <ability>L2_Typo</ability>
      <abilityName>字词错误</abilityName>
      <candidateList>
        <item>如</item>
      </candidateList>
      <explain/>
      <paraID> 74F079A</paraID>
      <start>46</start>
      <end>48</end>
      <status>unmodified</status>
      <modifiedWord/>
      <trackRevisions>false</trackRevisions>
    </reviewItem>
    <reviewItem>
      <errorID>ba6bf0c5-8418-436e-97f0-257bd3d434c5</errorID>
      <errorWord>(</errorWord>
      <group>L1_Format</group>
      <groupName>格式问题</groupName>
      <ability>L2_HalfPunc_CN</ability>
      <abilityName>全半角检查</abilityName>
      <candidateList>
        <item>（</item>
      </candidateList>
      <explain>文本全半角错误。</explain>
      <paraID>4A623DD4</paraID>
      <start>10</start>
      <end>11</end>
      <status>unmodified</status>
      <modifiedWord/>
      <trackRevisions>false</trackRevisions>
    </reviewItem>
    <reviewItem>
      <errorID>27604a94-dc81-4c2d-a17b-994187a2dbab</errorID>
      <errorWord>)</errorWord>
      <group>L1_Format</group>
      <groupName>格式问题</groupName>
      <ability>L2_HalfPunc_CN</ability>
      <abilityName>全半角检查</abilityName>
      <candidateList>
        <item>）</item>
      </candidateList>
      <explain>文本全半角错误。</explain>
      <paraID>4A623DD4</paraID>
      <start>60</start>
      <end>61</end>
      <status>unmodified</status>
      <modifiedWord/>
      <trackRevisions>false</trackRevisions>
    </reviewItem>
    <reviewItem>
      <errorID>ff671404-b371-43fb-b8bc-c81eb64d4f5b</errorID>
      <errorWord>(</errorWord>
      <group>L1_Format</group>
      <groupName>格式问题</groupName>
      <ability>L2_HalfPunc_CN</ability>
      <abilityName>全半角检查</abilityName>
      <candidateList>
        <item>（</item>
      </candidateList>
      <explain>文本全半角错误。</explain>
      <paraID>1C2B5D35</paraID>
      <start>73</start>
      <end>74</end>
      <status>unmodified</status>
      <modifiedWord/>
      <trackRevisions>false</trackRevisions>
    </reviewItem>
    <reviewItem>
      <errorID>9001b3ec-5065-43f1-92d3-43195c289504</errorID>
      <errorWord>)</errorWord>
      <group>L1_Format</group>
      <groupName>格式问题</groupName>
      <ability>L2_HalfPunc_CN</ability>
      <abilityName>全半角检查</abilityName>
      <candidateList>
        <item>）</item>
      </candidateList>
      <explain>文本全半角错误。</explain>
      <paraID>1C2B5D35</paraID>
      <start>84</start>
      <end>85</end>
      <status>unmodified</status>
      <modifiedWord/>
      <trackRevisions>false</trackRevisions>
    </reviewItem>
    <reviewItem>
      <errorID>b411de7f-1b49-4f56-a811-cec6d4cc755b</errorID>
      <errorWord>,</errorWord>
      <group>L1_Format</group>
      <groupName>格式问题</groupName>
      <ability>L2_HalfPunc_CN</ability>
      <abilityName>全半角检查</abilityName>
      <candidateList>
        <item>，</item>
      </candidateList>
      <explain>文本全半角错误。</explain>
      <paraID>3C22F2DD</paraID>
      <start>84</start>
      <end>85</end>
      <status>unmodified</status>
      <modifiedWord/>
      <trackRevisions>false</trackRevisions>
    </reviewItem>
    <reviewItem>
      <errorID>d107a572-4799-4847-a768-939a7a1ef7ce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153BE092</paraID>
      <start>0</start>
      <end>2</end>
      <status>unmodified</status>
      <modifiedWord/>
      <trackRevisions>false</trackRevisions>
    </reviewItem>
    <reviewItem>
      <errorID>c089793f-8b4c-4675-a273-7e6e57b2f4cb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3522F63D</paraID>
      <start>0</start>
      <end>2</end>
      <status>unmodified</status>
      <modifiedWord/>
      <trackRevisions>false</trackRevisions>
    </reviewItem>
    <reviewItem>
      <errorID>c8454fda-ee9e-4cee-94d4-8d37ec7269a5</errorID>
      <errorWord>（</errorWord>
      <group>L1_Punc</group>
      <groupName>标点问题</groupName>
      <ability>L2_Punc_CN</ability>
      <abilityName>标点符号检查</abilityName>
      <candidateList/>
      <explain>同一形式括号套用。</explain>
      <paraID>3522F63D</paraID>
      <start>255</start>
      <end>256</end>
      <status>unmodified</status>
      <modifiedWord/>
      <trackRevisions>false</trackRevisions>
    </reviewItem>
    <reviewItem>
      <errorID>ba14302e-0378-4e00-a2f3-37359d3ac7d3</errorID>
      <errorWord>(</errorWord>
      <group>L1_Punc</group>
      <groupName>标点问题</groupName>
      <ability>L2_Punc_CN</ability>
      <abilityName>标点符号检查</abilityName>
      <candidateList/>
      <explain>同一形式括号套用。</explain>
      <paraID>3522F63D</paraID>
      <start>270</start>
      <end>271</end>
      <status>unmodified</status>
      <modifiedWord/>
      <trackRevisions>false</trackRevisions>
    </reviewItem>
    <reviewItem>
      <errorID>3c38c602-556e-4cc1-9725-5b67924a279b</errorID>
      <errorWord>)</errorWord>
      <group>L1_Punc</group>
      <groupName>标点问题</groupName>
      <ability>L2_Punc_CN</ability>
      <abilityName>标点符号检查</abilityName>
      <candidateList/>
      <explain>同一形式括号套用。</explain>
      <paraID>3522F63D</paraID>
      <start>276</start>
      <end>277</end>
      <status>unmodified</status>
      <modifiedWord/>
      <trackRevisions>false</trackRevisions>
    </reviewItem>
    <reviewItem>
      <errorID>55d2c69e-604d-4513-9719-0feaad95c9e3</errorID>
      <errorWord>）</errorWord>
      <group>L1_Punc</group>
      <groupName>标点问题</groupName>
      <ability>L2_Punc_CN</ability>
      <abilityName>标点符号检查</abilityName>
      <candidateList/>
      <explain>同一形式括号套用。</explain>
      <paraID>3522F63D</paraID>
      <start>288</start>
      <end>289</end>
      <status>unmodified</status>
      <modifiedWord/>
      <trackRevisions>false</trackRevisions>
    </reviewItem>
    <reviewItem>
      <errorID>0a7a2400-60f5-4ced-81aa-2c2f940972fa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194D5AA7</paraID>
      <start>0</start>
      <end>2</end>
      <status>unmodified</status>
      <modifiedWord/>
      <trackRevisions>false</trackRevisions>
    </reviewItem>
    <reviewItem>
      <errorID>75dbcdf3-9955-46d6-8f9a-331c0c5bb654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23AB8178</paraID>
      <start>0</start>
      <end>2</end>
      <status>unmodified</status>
      <modifiedWord/>
      <trackRevisions>false</trackRevisions>
    </reviewItem>
    <reviewItem>
      <errorID>d130ca96-ad8b-447d-a25d-21a2d7595b94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59290CB</paraID>
      <start>0</start>
      <end>2</end>
      <status>unmodified</status>
      <modifiedWord/>
      <trackRevisions>false</trackRevisions>
    </reviewItem>
    <reviewItem>
      <errorID>96155443-ea0a-40f9-a8f2-e555db5cc268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62C97810</paraID>
      <start>0</start>
      <end>2</end>
      <status>unmodified</status>
      <modifiedWord/>
      <trackRevisions>false</trackRevisions>
    </reviewItem>
    <reviewItem>
      <errorID>b09eeedd-d8be-4204-9e3a-1e8e4fe659ef</errorID>
      <errorWord>&lt;</errorWord>
      <group>L1_Format</group>
      <groupName>格式问题</groupName>
      <ability>L2_HalfPunc_CN</ability>
      <abilityName>全半角检查</abilityName>
      <candidateList>
        <item>〈</item>
      </candidateList>
      <explain>文本全半角错误。</explain>
      <paraID>76AA802D</paraID>
      <start>49</start>
      <end>50</end>
      <status>unmodified</status>
      <modifiedWord/>
      <trackRevisions>false</trackRevisions>
    </reviewItem>
    <reviewItem>
      <errorID>a0972749-d64b-40ef-a443-8634a7dd5c52</errorID>
      <errorWord>&lt;</errorWord>
      <group>L1_Format</group>
      <groupName>格式问题</groupName>
      <ability>L2_HalfPunc_CN</ability>
      <abilityName>全半角检查</abilityName>
      <candidateList>
        <item>〈</item>
      </candidateList>
      <explain>文本全半角错误。</explain>
      <paraID> 6042694</paraID>
      <start>49</start>
      <end>50</end>
      <status>unmodified</status>
      <modifiedWord/>
      <trackRevisions>false</trackRevisions>
    </reviewItem>
    <reviewItem>
      <errorID>64a43ae5-548e-415b-bdef-39124519d809</errorID>
      <errorWord>&lt;</errorWord>
      <group>L1_Format</group>
      <groupName>格式问题</groupName>
      <ability>L2_HalfPunc_CN</ability>
      <abilityName>全半角检查</abilityName>
      <candidateList>
        <item>〈</item>
      </candidateList>
      <explain>文本全半角错误。</explain>
      <paraID>6848A25A</paraID>
      <start>34</start>
      <end>35</end>
      <status>unmodified</status>
      <modifiedWord/>
      <trackRevisions>false</trackRevisions>
    </reviewItem>
    <reviewItem>
      <errorID>e1225081-8972-4a39-b67a-049f5cc05fa0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7EC6C57E</paraID>
      <start>0</start>
      <end>2</end>
      <status>unmodified</status>
      <modifiedWord/>
      <trackRevisions>false</trackRevisions>
    </reviewItem>
    <reviewItem>
      <errorID>e9b0895b-b80e-45a1-896f-510ce9888cce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5C6BBE11</paraID>
      <start>0</start>
      <end>2</end>
      <status>unmodified</status>
      <modifiedWord/>
      <trackRevisions>false</trackRevisions>
    </reviewItem>
    <reviewItem>
      <errorID>0f789493-4cff-4549-8cd1-0f342bdc63c2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29C5112F</paraID>
      <start>0</start>
      <end>2</end>
      <status>unmodified</status>
      <modifiedWord/>
      <trackRevisions>false</trackRevisions>
    </reviewItem>
    <reviewItem>
      <errorID>d1a65406-25ce-4c1b-8961-8bf2f21c42a8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6928AC3</paraID>
      <start>0</start>
      <end>2</end>
      <status>unmodified</status>
      <modifiedWord/>
      <trackRevisions>false</trackRevisions>
    </reviewItem>
    <reviewItem>
      <errorID>b2709ea2-87ea-40b8-a823-2d98f909c9fe</errorID>
      <errorWord>:</errorWord>
      <group>L1_Format</group>
      <groupName>格式问题</groupName>
      <ability>L2_HalfPunc_CN</ability>
      <abilityName>全半角检查</abilityName>
      <candidateList>
        <item>：</item>
      </candidateList>
      <explain>文本全半角错误。</explain>
      <paraID>3EE2016E</paraID>
      <start>40</start>
      <end>41</end>
      <status>unmodified</status>
      <modifiedWord/>
      <trackRevisions>false</trackRevisions>
    </reviewItem>
    <reviewItem>
      <errorID>f8bf329a-ce6e-44ef-abcb-14bc31e30c6f</errorID>
      <errorWord>(</errorWord>
      <group>L1_Format</group>
      <groupName>格式问题</groupName>
      <ability>L2_HalfPunc_CN</ability>
      <abilityName>全半角检查</abilityName>
      <candidateList>
        <item>（</item>
      </candidateList>
      <explain>文本全半角错误。</explain>
      <paraID>48F873CB</paraID>
      <start>46</start>
      <end>47</end>
      <status>unmodified</status>
      <modifiedWord/>
      <trackRevisions>false</trackRevisions>
    </reviewItem>
    <reviewItem>
      <errorID>47d01871-2409-4566-9db8-130504d225d3</errorID>
      <errorWord>)</errorWord>
      <group>L1_Format</group>
      <groupName>格式问题</groupName>
      <ability>L2_HalfPunc_CN</ability>
      <abilityName>全半角检查</abilityName>
      <candidateList>
        <item>）</item>
      </candidateList>
      <explain>文本全半角错误。</explain>
      <paraID>48F873CB</paraID>
      <start>50</start>
      <end>51</end>
      <status>unmodified</status>
      <modifiedWord/>
      <trackRevisions>false</trackRevisions>
    </reviewItem>
    <reviewItem>
      <errorID>76037d2f-e15e-457d-b51d-b2fc7e4be7c0</errorID>
      <errorWord>可以</errorWord>
      <group>L1_Word</group>
      <groupName>字词问题</groupName>
      <ability>L2_Typo</ability>
      <abilityName>字词错误</abilityName>
      <candidateList>
        <item>可</item>
      </candidateList>
      <explain>〈动〉适合：～人意｜这回倒～了他的心了。</explain>
      <paraID>2EC29BCE</paraID>
      <start>52</start>
      <end>54</end>
      <status>unmodified</status>
      <modifiedWord/>
      <trackRevisions>false</trackRevisions>
    </reviewItem>
    <reviewItem>
      <errorID>9d986611-7b2f-414b-9a59-f9b2f8b8b1f4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5602B021</paraID>
      <start>19</start>
      <end>22</end>
      <status>unmodified</status>
      <modifiedWord/>
      <trackRevisions>false</trackRevisions>
    </reviewItem>
    <reviewItem>
      <errorID>0090f1cd-628b-4618-b7ad-867767f1c9a9</errorID>
      <errorWord>-</errorWord>
      <group>L1_Format</group>
      <groupName>格式问题</groupName>
      <ability>L2_HalfPunc_CN</ability>
      <abilityName>全半角检查</abilityName>
      <candidateList>
        <item>－</item>
      </candidateList>
      <explain>文本全半角错误。</explain>
      <paraID>74B088D0</paraID>
      <start>2</start>
      <end>3</end>
      <status>unmodified</status>
      <modifiedWord/>
      <trackRevisions>false</trackRevisions>
    </reviewItem>
    <reviewItem>
      <errorID>5c64963b-796c-415c-8e6f-c93c8511a64a</errorID>
      <errorWord>:</errorWord>
      <group>L1_Format</group>
      <groupName>格式问题</groupName>
      <ability>L2_HalfPunc_CN</ability>
      <abilityName>全半角检查</abilityName>
      <candidateList>
        <item>：</item>
      </candidateList>
      <explain>文本全半角错误。</explain>
      <paraID>5B724CDD</paraID>
      <start>10</start>
      <end>11</end>
      <status>unmodified</status>
      <modifiedWord/>
      <trackRevisions>false</trackRevisions>
    </reviewItem>
    <reviewItem>
      <errorID>ddd61295-9732-4e03-af69-eb80fe74b9e6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5B724CDD</paraID>
      <start>11</start>
      <end>12</end>
      <status>unmodified</status>
      <modifiedWord/>
      <trackRevisions>false</trackRevisions>
    </reviewItem>
    <reviewItem>
      <errorID>5c3fe3fa-bbc0-4d6e-9e2a-e656dc5ea3ec</errorID>
      <errorWord>(</errorWord>
      <group>L1_Format</group>
      <groupName>格式问题</groupName>
      <ability>L2_HalfPunc_CN</ability>
      <abilityName>全半角检查</abilityName>
      <candidateList>
        <item>（</item>
      </candidateList>
      <explain>文本全半角错误。</explain>
      <paraID>5B724CDD</paraID>
      <start>32</start>
      <end>33</end>
      <status>unmodified</status>
      <modifiedWord/>
      <trackRevisions>false</trackRevisions>
    </reviewItem>
    <reviewItem>
      <errorID>564251c4-f65f-4963-9836-cf89cc77a385</errorID>
      <errorWord>)</errorWord>
      <group>L1_Format</group>
      <groupName>格式问题</groupName>
      <ability>L2_HalfPunc_CN</ability>
      <abilityName>全半角检查</abilityName>
      <candidateList>
        <item>）</item>
      </candidateList>
      <explain>文本全半角错误。</explain>
      <paraID>5B724CDD</paraID>
      <start>50</start>
      <end>51</end>
      <status>unmodified</status>
      <modifiedWord/>
      <trackRevisions>false</trackRevisions>
    </reviewItem>
    <reviewItem>
      <errorID>d59c801c-0c2b-4db6-97c6-229f863c5948</errorID>
      <errorWord>:</errorWord>
      <group>L1_Format</group>
      <groupName>格式问题</groupName>
      <ability>L2_HalfPunc_CN</ability>
      <abilityName>全半角检查</abilityName>
      <candidateList>
        <item>：</item>
      </candidateList>
      <explain>文本全半角错误。</explain>
      <paraID>2FF706DC</paraID>
      <start>7</start>
      <end>8</end>
      <status>unmodified</status>
      <modifiedWord/>
      <trackRevisions>false</trackRevisions>
    </reviewItem>
    <reviewItem>
      <errorID>72107d60-c273-4ac4-a193-b1ddee634e0b</errorID>
      <errorWord>;</errorWord>
      <group>L1_Format</group>
      <groupName>格式问题</groupName>
      <ability>L2_HalfPunc_CN</ability>
      <abilityName>全半角检查</abilityName>
      <candidateList>
        <item>；</item>
      </candidateList>
      <explain>文本全半角错误。</explain>
      <paraID>2FF706DC</paraID>
      <start>57</start>
      <end>58</end>
      <status>unmodified</status>
      <modifiedWord/>
      <trackRevisions>false</trackRevisions>
    </reviewItem>
    <reviewItem>
      <errorID>c3632002-2275-4c8a-999b-1b80aadb4e67</errorID>
      <errorWord>;</errorWord>
      <group>L1_Format</group>
      <groupName>格式问题</groupName>
      <ability>L2_HalfPunc_CN</ability>
      <abilityName>全半角检查</abilityName>
      <candidateList>
        <item>；</item>
      </candidateList>
      <explain>文本全半角错误。</explain>
      <paraID>2FF706DC</paraID>
      <start>132</start>
      <end>133</end>
      <status>unmodified</status>
      <modifiedWord/>
      <trackRevisions>false</trackRevisions>
    </reviewItem>
    <reviewItem>
      <errorID>1262408f-c9f0-4c20-9826-4b3d18ebfbaf</errorID>
      <errorWord>;</errorWord>
      <group>L1_Format</group>
      <groupName>格式问题</groupName>
      <ability>L2_HalfPunc_CN</ability>
      <abilityName>全半角检查</abilityName>
      <candidateList>
        <item>；</item>
      </candidateList>
      <explain>文本全半角错误。</explain>
      <paraID>2FF706DC</paraID>
      <start>159</start>
      <end>160</end>
      <status>unmodified</status>
      <modifiedWord/>
      <trackRevisions>false</trackRevisions>
    </reviewItem>
    <reviewItem>
      <errorID>a27b01b2-274b-49d6-b0c1-5a20c21f2086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2FF706DC</paraID>
      <start>327</start>
      <end>328</end>
      <status>unmodified</status>
      <modifiedWord/>
      <trackRevisions>false</trackRevisions>
    </reviewItem>
    <reviewItem>
      <errorID>bdd0d786-1d7b-4d27-b994-b4a5cffd6d3b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2FF706DC</paraID>
      <start>351</start>
      <end>352</end>
      <status>unmodified</status>
      <modifiedWord/>
      <trackRevisions>false</trackRevisions>
    </reviewItem>
    <reviewItem>
      <errorID>48e5f414-4396-4f62-974e-ad7a01967459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2FF706DC</paraID>
      <start>361</start>
      <end>362</end>
      <status>unmodified</status>
      <modifiedWord/>
      <trackRevisions>false</trackRevisions>
    </reviewItem>
    <reviewItem>
      <errorID>e8a77970-2bee-481e-b941-dcf3ff63425c</errorID>
      <errorWord>-</errorWord>
      <group>L1_Format</group>
      <groupName>格式问题</groupName>
      <ability>L2_HalfPunc_CN</ability>
      <abilityName>全半角检查</abilityName>
      <candidateList>
        <item>－</item>
      </candidateList>
      <explain>文本全半角错误。</explain>
      <paraID>418B33D1</paraID>
      <start>7</start>
      <end>8</end>
      <status>unmodified</status>
      <modifiedWord/>
      <trackRevisions>false</trackRevisions>
    </reviewItem>
    <reviewItem>
      <errorID>ef41417e-9d96-4832-af2d-99600c75d4ea</errorID>
      <errorWord>:</errorWord>
      <group>L1_Format</group>
      <groupName>格式问题</groupName>
      <ability>L2_HalfPunc_CN</ability>
      <abilityName>全半角检查</abilityName>
      <candidateList>
        <item>：</item>
      </candidateList>
      <explain>文本全半角错误。</explain>
      <paraID>52DCAC37</paraID>
      <start>9</start>
      <end>10</end>
      <status>unmodified</status>
      <modifiedWord/>
      <trackRevisions>false</trackRevisions>
    </reviewItem>
    <reviewItem>
      <errorID>ac6e13f1-5da6-4701-9d3a-182e7ffb747f</errorID>
      <errorWord>;</errorWord>
      <group>L1_Format</group>
      <groupName>格式问题</groupName>
      <ability>L2_HalfPunc_CN</ability>
      <abilityName>全半角检查</abilityName>
      <candidateList>
        <item>；</item>
      </candidateList>
      <explain>文本全半角错误。</explain>
      <paraID>52DCAC37</paraID>
      <start>62</start>
      <end>63</end>
      <status>unmodified</status>
      <modifiedWord/>
      <trackRevisions>false</trackRevisions>
    </reviewItem>
    <reviewItem>
      <errorID>e248543e-1299-4fdd-9b0b-1b0d3124db01</errorID>
      <errorWord>;</errorWord>
      <group>L1_Format</group>
      <groupName>格式问题</groupName>
      <ability>L2_HalfPunc_CN</ability>
      <abilityName>全半角检查</abilityName>
      <candidateList>
        <item>；</item>
      </candidateList>
      <explain>文本全半角错误。</explain>
      <paraID>52DCAC37</paraID>
      <start>145</start>
      <end>146</end>
      <status>unmodified</status>
      <modifiedWord/>
      <trackRevisions>false</trackRevisions>
    </reviewItem>
    <reviewItem>
      <errorID>5152c225-1232-46af-b778-9d7a492657ea</errorID>
      <errorWord>;</errorWord>
      <group>L1_Format</group>
      <groupName>格式问题</groupName>
      <ability>L2_HalfPunc_CN</ability>
      <abilityName>全半角检查</abilityName>
      <candidateList>
        <item>；</item>
      </candidateList>
      <explain>文本全半角错误。</explain>
      <paraID>52DCAC37</paraID>
      <start>172</start>
      <end>173</end>
      <status>unmodified</status>
      <modifiedWord/>
      <trackRevisions>false</trackRevisions>
    </reviewItem>
    <reviewItem>
      <errorID>9f5e9616-ba47-4a45-a800-eead67268715</errorID>
      <errorWord>:</errorWord>
      <group>L1_Format</group>
      <groupName>格式问题</groupName>
      <ability>L2_HalfPunc_CN</ability>
      <abilityName>全半角检查</abilityName>
      <candidateList>
        <item>：</item>
      </candidateList>
      <explain>文本全半角错误。</explain>
      <paraID>1FBD5D1B</paraID>
      <start>9</start>
      <end>10</end>
      <status>unmodified</status>
      <modifiedWord/>
      <trackRevisions>false</trackRevisions>
    </reviewItem>
    <reviewItem>
      <errorID>a7a91258-c795-42be-8d07-154ed2a67bbb</errorID>
      <errorWord>;</errorWord>
      <group>L1_Format</group>
      <groupName>格式问题</groupName>
      <ability>L2_HalfPunc_CN</ability>
      <abilityName>全半角检查</abilityName>
      <candidateList>
        <item>；</item>
      </candidateList>
      <explain>文本全半角错误。</explain>
      <paraID>1FBD5D1B</paraID>
      <start>62</start>
      <end>63</end>
      <status>unmodified</status>
      <modifiedWord/>
      <trackRevisions>false</trackRevisions>
    </reviewItem>
    <reviewItem>
      <errorID>ec36f60b-ca5b-4993-a72a-648657ba5981</errorID>
      <errorWord>;</errorWord>
      <group>L1_Format</group>
      <groupName>格式问题</groupName>
      <ability>L2_HalfPunc_CN</ability>
      <abilityName>全半角检查</abilityName>
      <candidateList>
        <item>；</item>
      </candidateList>
      <explain>文本全半角错误。</explain>
      <paraID>1FBD5D1B</paraID>
      <start>145</start>
      <end>146</end>
      <status>unmodified</status>
      <modifiedWord/>
      <trackRevisions>false</trackRevisions>
    </reviewItem>
    <reviewItem>
      <errorID>2d2faaba-e32c-4ac9-a828-61e4e7345355</errorID>
      <errorWord>;</errorWord>
      <group>L1_Format</group>
      <groupName>格式问题</groupName>
      <ability>L2_HalfPunc_CN</ability>
      <abilityName>全半角检查</abilityName>
      <candidateList>
        <item>；</item>
      </candidateList>
      <explain>文本全半角错误。</explain>
      <paraID>1FBD5D1B</paraID>
      <start>172</start>
      <end>173</end>
      <status>unmodified</status>
      <modifiedWord/>
      <trackRevisions>false</trackRevisions>
    </reviewItem>
    <reviewItem>
      <errorID>638e95c0-be43-41cc-acf4-94dd1827315c</errorID>
      <errorWord>:</errorWord>
      <group>L1_Format</group>
      <groupName>格式问题</groupName>
      <ability>L2_HalfPunc_CN</ability>
      <abilityName>全半角检查</abilityName>
      <candidateList>
        <item>：</item>
      </candidateList>
      <explain>文本全半角错误。</explain>
      <paraID>7E62A499</paraID>
      <start>9</start>
      <end>10</end>
      <status>unmodified</status>
      <modifiedWord/>
      <trackRevisions>false</trackRevisions>
    </reviewItem>
    <reviewItem>
      <errorID>3267bcca-bf49-4655-aa56-888f2cb16d0e</errorID>
      <errorWord>;</errorWord>
      <group>L1_Format</group>
      <groupName>格式问题</groupName>
      <ability>L2_HalfPunc_CN</ability>
      <abilityName>全半角检查</abilityName>
      <candidateList>
        <item>；</item>
      </candidateList>
      <explain>文本全半角错误。</explain>
      <paraID>7E62A499</paraID>
      <start>62</start>
      <end>63</end>
      <status>unmodified</status>
      <modifiedWord/>
      <trackRevisions>false</trackRevisions>
    </reviewItem>
    <reviewItem>
      <errorID>e4b8d232-c040-449b-bf57-f44cc4a77fd1</errorID>
      <errorWord>;</errorWord>
      <group>L1_Format</group>
      <groupName>格式问题</groupName>
      <ability>L2_HalfPunc_CN</ability>
      <abilityName>全半角检查</abilityName>
      <candidateList>
        <item>；</item>
      </candidateList>
      <explain>文本全半角错误。</explain>
      <paraID>7E62A499</paraID>
      <start>145</start>
      <end>146</end>
      <status>unmodified</status>
      <modifiedWord/>
      <trackRevisions>false</trackRevisions>
    </reviewItem>
    <reviewItem>
      <errorID>07a68793-7837-4e50-952e-c37ce8eae216</errorID>
      <errorWord>;</errorWord>
      <group>L1_Format</group>
      <groupName>格式问题</groupName>
      <ability>L2_HalfPunc_CN</ability>
      <abilityName>全半角检查</abilityName>
      <candidateList>
        <item>；</item>
      </candidateList>
      <explain>文本全半角错误。</explain>
      <paraID>7E62A499</paraID>
      <start>172</start>
      <end>173</end>
      <status>unmodified</status>
      <modifiedWord/>
      <trackRevisions>false</trackRevisions>
    </reviewItem>
    <reviewItem>
      <errorID>87b6e077-bd33-4e82-b0a4-ee890efb2985</errorID>
      <errorWord>-</errorWord>
      <group>L1_Format</group>
      <groupName>格式问题</groupName>
      <ability>L2_HalfPunc_CN</ability>
      <abilityName>全半角检查</abilityName>
      <candidateList>
        <item>－</item>
      </candidateList>
      <explain>文本全半角错误。</explain>
      <paraID>2975E521</paraID>
      <start>6</start>
      <end>7</end>
      <status>unmodified</status>
      <modifiedWord/>
      <trackRevisions>false</trackRevisions>
    </reviewItem>
    <reviewItem>
      <errorID>eedb7f11-10f2-4e87-92f4-19be06eace09</errorID>
      <errorWord>:</errorWord>
      <group>L1_Format</group>
      <groupName>格式问题</groupName>
      <ability>L2_HalfPunc_CN</ability>
      <abilityName>全半角检查</abilityName>
      <candidateList>
        <item>：</item>
      </candidateList>
      <explain>文本全半角错误。</explain>
      <paraID>2AE3F171</paraID>
      <start>9</start>
      <end>10</end>
      <status>unmodified</status>
      <modifiedWord/>
      <trackRevisions>false</trackRevisions>
    </reviewItem>
    <reviewItem>
      <errorID>7b8b52ce-debe-4ebc-93bf-efa1d6934285</errorID>
      <errorWord>;</errorWord>
      <group>L1_Format</group>
      <groupName>格式问题</groupName>
      <ability>L2_HalfPunc_CN</ability>
      <abilityName>全半角检查</abilityName>
      <candidateList>
        <item>；</item>
      </candidateList>
      <explain>文本全半角错误。</explain>
      <paraID>2AE3F171</paraID>
      <start>75</start>
      <end>76</end>
      <status>unmodified</status>
      <modifiedWord/>
      <trackRevisions>false</trackRevisions>
    </reviewItem>
    <reviewItem>
      <errorID>a62f619c-8ab5-46be-8715-2027c1c2f398</errorID>
      <errorWord>;</errorWord>
      <group>L1_Format</group>
      <groupName>格式问题</groupName>
      <ability>L2_HalfPunc_CN</ability>
      <abilityName>全半角检查</abilityName>
      <candidateList>
        <item>；</item>
      </candidateList>
      <explain>文本全半角错误。</explain>
      <paraID>2AE3F171</paraID>
      <start>158</start>
      <end>159</end>
      <status>unmodified</status>
      <modifiedWord/>
      <trackRevisions>false</trackRevisions>
    </reviewItem>
    <reviewItem>
      <errorID>d9862171-0b80-4e70-8cd1-c0c3b4c21539</errorID>
      <errorWord>;</errorWord>
      <group>L1_Format</group>
      <groupName>格式问题</groupName>
      <ability>L2_HalfPunc_CN</ability>
      <abilityName>全半角检查</abilityName>
      <candidateList>
        <item>；</item>
      </candidateList>
      <explain>文本全半角错误。</explain>
      <paraID>2AE3F171</paraID>
      <start>185</start>
      <end>186</end>
      <status>unmodified</status>
      <modifiedWord/>
      <trackRevisions>false</trackRevisions>
    </reviewItem>
    <reviewItem>
      <errorID>5dafdf1b-6269-4c80-8bbc-f0d896a5c056</errorID>
      <errorWord>:</errorWord>
      <group>L1_Format</group>
      <groupName>格式问题</groupName>
      <ability>L2_HalfPunc_CN</ability>
      <abilityName>全半角检查</abilityName>
      <candidateList>
        <item>：</item>
      </candidateList>
      <explain>文本全半角错误。</explain>
      <paraID>5F4B347B</paraID>
      <start>9</start>
      <end>10</end>
      <status>unmodified</status>
      <modifiedWord/>
      <trackRevisions>false</trackRevisions>
    </reviewItem>
    <reviewItem>
      <errorID>00d92fa6-323f-4fe6-92b8-b968b186a699</errorID>
      <errorWord>;</errorWord>
      <group>L1_Format</group>
      <groupName>格式问题</groupName>
      <ability>L2_HalfPunc_CN</ability>
      <abilityName>全半角检查</abilityName>
      <candidateList>
        <item>；</item>
      </candidateList>
      <explain>文本全半角错误。</explain>
      <paraID>5F4B347B</paraID>
      <start>62</start>
      <end>63</end>
      <status>unmodified</status>
      <modifiedWord/>
      <trackRevisions>false</trackRevisions>
    </reviewItem>
    <reviewItem>
      <errorID>4c888b0a-0e30-4d12-a168-98accf3d9fcf</errorID>
      <errorWord>;</errorWord>
      <group>L1_Format</group>
      <groupName>格式问题</groupName>
      <ability>L2_HalfPunc_CN</ability>
      <abilityName>全半角检查</abilityName>
      <candidateList>
        <item>；</item>
      </candidateList>
      <explain>文本全半角错误。</explain>
      <paraID>5F4B347B</paraID>
      <start>158</start>
      <end>159</end>
      <status>unmodified</status>
      <modifiedWord/>
      <trackRevisions>false</trackRevisions>
    </reviewItem>
    <reviewItem>
      <errorID>a7c70489-1dd9-4b6e-968f-d4cf2e970dd6</errorID>
      <errorWord>;</errorWord>
      <group>L1_Format</group>
      <groupName>格式问题</groupName>
      <ability>L2_HalfPunc_CN</ability>
      <abilityName>全半角检查</abilityName>
      <candidateList>
        <item>；</item>
      </candidateList>
      <explain>文本全半角错误。</explain>
      <paraID>5F4B347B</paraID>
      <start>185</start>
      <end>186</end>
      <status>unmodified</status>
      <modifiedWord/>
      <trackRevisions>false</trackRevisions>
    </reviewItem>
    <reviewItem>
      <errorID>50224cac-3e6d-410d-b5c8-8952e3782089</errorID>
      <errorWord>-</errorWord>
      <group>L1_Format</group>
      <groupName>格式问题</groupName>
      <ability>L2_HalfPunc_CN</ability>
      <abilityName>全半角检查</abilityName>
      <candidateList>
        <item>－</item>
      </candidateList>
      <explain>文本全半角错误。</explain>
      <paraID>2CE8133A</paraID>
      <start>5</start>
      <end>6</end>
      <status>unmodified</status>
      <modifiedWord/>
      <trackRevisions>false</trackRevisions>
    </reviewItem>
    <reviewItem>
      <errorID>885744d7-56bf-4aeb-939a-b224759c5410</errorID>
      <errorWord>:</errorWord>
      <group>L1_Format</group>
      <groupName>格式问题</groupName>
      <ability>L2_HalfPunc_CN</ability>
      <abilityName>全半角检查</abilityName>
      <candidateList>
        <item>：</item>
      </candidateList>
      <explain>文本全半角错误。</explain>
      <paraID>5E3671C2</paraID>
      <start>7</start>
      <end>8</end>
      <status>unmodified</status>
      <modifiedWord/>
      <trackRevisions>false</trackRevisions>
    </reviewItem>
    <reviewItem>
      <errorID>d83a521b-5073-4669-96f8-23e8807f5afb</errorID>
      <errorWord>;</errorWord>
      <group>L1_Format</group>
      <groupName>格式问题</groupName>
      <ability>L2_HalfPunc_CN</ability>
      <abilityName>全半角检查</abilityName>
      <candidateList>
        <item>；</item>
      </candidateList>
      <explain>文本全半角错误。</explain>
      <paraID>5E3671C2</paraID>
      <start>57</start>
      <end>58</end>
      <status>unmodified</status>
      <modifiedWord/>
      <trackRevisions>false</trackRevisions>
    </reviewItem>
    <reviewItem>
      <errorID>7e10a583-dc47-4b74-857a-a994292f9bc9</errorID>
      <errorWord>;</errorWord>
      <group>L1_Format</group>
      <groupName>格式问题</groupName>
      <ability>L2_HalfPunc_CN</ability>
      <abilityName>全半角检查</abilityName>
      <candidateList>
        <item>；</item>
      </candidateList>
      <explain>文本全半角错误。</explain>
      <paraID>5E3671C2</paraID>
      <start>130</start>
      <end>131</end>
      <status>unmodified</status>
      <modifiedWord/>
      <trackRevisions>false</trackRevisions>
    </reviewItem>
    <reviewItem>
      <errorID>59cf7d5c-b1bb-4ede-aec4-8cec665e9476</errorID>
      <errorWord>;</errorWord>
      <group>L1_Format</group>
      <groupName>格式问题</groupName>
      <ability>L2_HalfPunc_CN</ability>
      <abilityName>全半角检查</abilityName>
      <candidateList>
        <item>；</item>
      </candidateList>
      <explain>文本全半角错误。</explain>
      <paraID>5E3671C2</paraID>
      <start>157</start>
      <end>158</end>
      <status>unmodified</status>
      <modifiedWord/>
      <trackRevisions>false</trackRevisions>
    </reviewItem>
    <reviewItem>
      <errorID>fe7dd9c8-ae11-4857-aff5-6ca11cdb9fe0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5E3671C2</paraID>
      <start>166</start>
      <end>167</end>
      <status>unmodified</status>
      <modifiedWord/>
      <trackRevisions>false</trackRevisions>
    </reviewItem>
    <reviewItem>
      <errorID>938c03e2-ed81-4674-94c0-7976c4ac8290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5E3671C2</paraID>
      <start>176</start>
      <end>177</end>
      <status>unmodified</status>
      <modifiedWord/>
      <trackRevisions>false</trackRevisions>
    </reviewItem>
    <reviewItem>
      <errorID>f2257be6-9f1a-415e-8022-86eeb302acbf</errorID>
      <errorWord>:</errorWord>
      <group>L1_Format</group>
      <groupName>格式问题</groupName>
      <ability>L2_HalfPunc_CN</ability>
      <abilityName>全半角检查</abilityName>
      <candidateList>
        <item>：</item>
      </candidateList>
      <explain>文本全半角错误。</explain>
      <paraID>303EEE75</paraID>
      <start>7</start>
      <end>8</end>
      <status>unmodified</status>
      <modifiedWord/>
      <trackRevisions>false</trackRevisions>
    </reviewItem>
    <reviewItem>
      <errorID>2b031565-a589-4416-9508-d134236f4a63</errorID>
      <errorWord>;</errorWord>
      <group>L1_Format</group>
      <groupName>格式问题</groupName>
      <ability>L2_HalfPunc_CN</ability>
      <abilityName>全半角检查</abilityName>
      <candidateList>
        <item>；</item>
      </candidateList>
      <explain>文本全半角错误。</explain>
      <paraID>303EEE75</paraID>
      <start>57</start>
      <end>58</end>
      <status>unmodified</status>
      <modifiedWord/>
      <trackRevisions>false</trackRevisions>
    </reviewItem>
    <reviewItem>
      <errorID>5c91c5e5-8d59-481c-bc2e-251ff273b074</errorID>
      <errorWord>;</errorWord>
      <group>L1_Format</group>
      <groupName>格式问题</groupName>
      <ability>L2_HalfPunc_CN</ability>
      <abilityName>全半角检查</abilityName>
      <candidateList>
        <item>；</item>
      </candidateList>
      <explain>文本全半角错误。</explain>
      <paraID>303EEE75</paraID>
      <start>130</start>
      <end>131</end>
      <status>unmodified</status>
      <modifiedWord/>
      <trackRevisions>false</trackRevisions>
    </reviewItem>
    <reviewItem>
      <errorID>40b01dce-5fb9-469e-beac-ecd116c249c9</errorID>
      <errorWord>;</errorWord>
      <group>L1_Format</group>
      <groupName>格式问题</groupName>
      <ability>L2_HalfPunc_CN</ability>
      <abilityName>全半角检查</abilityName>
      <candidateList>
        <item>；</item>
      </candidateList>
      <explain>文本全半角错误。</explain>
      <paraID>303EEE75</paraID>
      <start>157</start>
      <end>158</end>
      <status>unmodified</status>
      <modifiedWord/>
      <trackRevisions>false</trackRevisions>
    </reviewItem>
    <reviewItem>
      <errorID>47a1886b-305f-4ab5-9ba0-699582c5c8c2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303EEE75</paraID>
      <start>325</start>
      <end>326</end>
      <status>unmodified</status>
      <modifiedWord/>
      <trackRevisions>false</trackRevisions>
    </reviewItem>
    <reviewItem>
      <errorID>999ea442-0c3d-47d3-bc53-35e689fec5d8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303EEE75</paraID>
      <start>349</start>
      <end>350</end>
      <status>unmodified</status>
      <modifiedWord/>
      <trackRevisions>false</trackRevisions>
    </reviewItem>
    <reviewItem>
      <errorID>00a2393c-ab79-46d0-9e24-ebe98a088fe4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303EEE75</paraID>
      <start>359</start>
      <end>360</end>
      <status>unmodified</status>
      <modifiedWord/>
      <trackRevisions>false</trackRevisions>
    </reviewItem>
    <reviewItem>
      <errorID>6d40c7e0-8cd1-48da-a60f-36be83867ce4</errorID>
      <errorWord>-</errorWord>
      <group>L1_Format</group>
      <groupName>格式问题</groupName>
      <ability>L2_HalfPunc_CN</ability>
      <abilityName>全半角检查</abilityName>
      <candidateList>
        <item>－</item>
      </candidateList>
      <explain>文本全半角错误。</explain>
      <paraID>31395B49</paraID>
      <start>10</start>
      <end>11</end>
      <status>unmodified</status>
      <modifiedWord/>
      <trackRevisions>false</trackRevisions>
    </reviewItem>
    <reviewItem>
      <errorID>b35071d6-b009-4381-9a14-43f9c54d4518</errorID>
      <errorWord>:</errorWord>
      <group>L1_Format</group>
      <groupName>格式问题</groupName>
      <ability>L2_HalfPunc_CN</ability>
      <abilityName>全半角检查</abilityName>
      <candidateList>
        <item>：</item>
      </candidateList>
      <explain>文本全半角错误。</explain>
      <paraID>  6FD099</paraID>
      <start>7</start>
      <end>8</end>
      <status>unmodified</status>
      <modifiedWord/>
      <trackRevisions>false</trackRevisions>
    </reviewItem>
    <reviewItem>
      <errorID>2232532d-7552-452c-9a47-d0f0990de9f5</errorID>
      <errorWord>;</errorWord>
      <group>L1_Format</group>
      <groupName>格式问题</groupName>
      <ability>L2_HalfPunc_CN</ability>
      <abilityName>全半角检查</abilityName>
      <candidateList>
        <item>；</item>
      </candidateList>
      <explain>文本全半角错误。</explain>
      <paraID>  6FD099</paraID>
      <start>57</start>
      <end>58</end>
      <status>unmodified</status>
      <modifiedWord/>
      <trackRevisions>false</trackRevisions>
    </reviewItem>
    <reviewItem>
      <errorID>33f26fc2-0cc2-4da7-86ad-3501efb4ec47</errorID>
      <errorWord>;</errorWord>
      <group>L1_Format</group>
      <groupName>格式问题</groupName>
      <ability>L2_HalfPunc_CN</ability>
      <abilityName>全半角检查</abilityName>
      <candidateList>
        <item>；</item>
      </candidateList>
      <explain>文本全半角错误。</explain>
      <paraID>  6FD099</paraID>
      <start>130</start>
      <end>131</end>
      <status>unmodified</status>
      <modifiedWord/>
      <trackRevisions>false</trackRevisions>
    </reviewItem>
    <reviewItem>
      <errorID>71716b74-8aee-4804-9648-093a0855529f</errorID>
      <errorWord>;</errorWord>
      <group>L1_Format</group>
      <groupName>格式问题</groupName>
      <ability>L2_HalfPunc_CN</ability>
      <abilityName>全半角检查</abilityName>
      <candidateList>
        <item>；</item>
      </candidateList>
      <explain>文本全半角错误。</explain>
      <paraID>  6FD099</paraID>
      <start>157</start>
      <end>158</end>
      <status>unmodified</status>
      <modifiedWord/>
      <trackRevisions>false</trackRevisions>
    </reviewItem>
    <reviewItem>
      <errorID>3678803d-3070-402a-bbcd-b7a08930a3d0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6FD099</paraID>
      <start>325</start>
      <end>326</end>
      <status>unmodified</status>
      <modifiedWord/>
      <trackRevisions>false</trackRevisions>
    </reviewItem>
    <reviewItem>
      <errorID>62b87201-8473-4143-b4d6-1377bfa5bc20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6FD099</paraID>
      <start>349</start>
      <end>350</end>
      <status>unmodified</status>
      <modifiedWord/>
      <trackRevisions>false</trackRevisions>
    </reviewItem>
    <reviewItem>
      <errorID>a23b0601-bbf7-44bf-a30c-805303eb2429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6FD099</paraID>
      <start>359</start>
      <end>360</end>
      <status>unmodified</status>
      <modifiedWord/>
      <trackRevisions>false</trackRevisions>
    </reviewItem>
    <reviewItem>
      <errorID>09b3a4f3-0ded-478d-9d88-0e9bf48243a2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47F9E168</paraID>
      <start>26</start>
      <end>27</end>
      <status>unmodified</status>
      <modifiedWord/>
      <trackRevisions>false</trackRevisions>
    </reviewItem>
    <reviewItem>
      <errorID>cea21f4b-ae93-4d09-b847-e422f0afce07</errorID>
      <errorWord>:</errorWord>
      <group>L1_Format</group>
      <groupName>格式问题</groupName>
      <ability>L2_HalfPunc_CN</ability>
      <abilityName>全半角检查</abilityName>
      <candidateList>
        <item>：</item>
      </candidateList>
      <explain>文本全半角错误。</explain>
      <paraID>45284155</paraID>
      <start>9</start>
      <end>10</end>
      <status>unmodified</status>
      <modifiedWord/>
      <trackRevisions>false</trackRevisions>
    </reviewItem>
    <reviewItem>
      <errorID>04e545c8-909e-41e1-8536-385c9c946c43</errorID>
      <errorWord>;</errorWord>
      <group>L1_Format</group>
      <groupName>格式问题</groupName>
      <ability>L2_HalfPunc_CN</ability>
      <abilityName>全半角检查</abilityName>
      <candidateList>
        <item>；</item>
      </candidateList>
      <explain>文本全半角错误。</explain>
      <paraID>45284155</paraID>
      <start>62</start>
      <end>63</end>
      <status>unmodified</status>
      <modifiedWord/>
      <trackRevisions>false</trackRevisions>
    </reviewItem>
    <reviewItem>
      <errorID>e294b297-96d9-45cf-b527-f11c7477840b</errorID>
      <errorWord>;</errorWord>
      <group>L1_Format</group>
      <groupName>格式问题</groupName>
      <ability>L2_HalfPunc_CN</ability>
      <abilityName>全半角检查</abilityName>
      <candidateList>
        <item>；</item>
      </candidateList>
      <explain>文本全半角错误。</explain>
      <paraID>45284155</paraID>
      <start>145</start>
      <end>146</end>
      <status>unmodified</status>
      <modifiedWord/>
      <trackRevisions>false</trackRevisions>
    </reviewItem>
    <reviewItem>
      <errorID>bd7eddb3-bed2-45f2-b7af-9460d75f0252</errorID>
      <errorWord>;</errorWord>
      <group>L1_Format</group>
      <groupName>格式问题</groupName>
      <ability>L2_HalfPunc_CN</ability>
      <abilityName>全半角检查</abilityName>
      <candidateList>
        <item>；</item>
      </candidateList>
      <explain>文本全半角错误。</explain>
      <paraID>45284155</paraID>
      <start>172</start>
      <end>173</end>
      <status>unmodified</status>
      <modifiedWord/>
      <trackRevisions>false</trackRevisions>
    </reviewItem>
    <reviewItem>
      <errorID>2172fb41-7da2-4e9b-8987-3d65d7e3d5c9</errorID>
      <errorWord>:</errorWord>
      <group>L1_Format</group>
      <groupName>格式问题</groupName>
      <ability>L2_HalfPunc_CN</ability>
      <abilityName>全半角检查</abilityName>
      <candidateList>
        <item>：</item>
      </candidateList>
      <explain>文本全半角错误。</explain>
      <paraID>25B32DD7</paraID>
      <start>7</start>
      <end>8</end>
      <status>unmodified</status>
      <modifiedWord/>
      <trackRevisions>false</trackRevisions>
    </reviewItem>
    <reviewItem>
      <errorID>71e5aecd-b53c-42b1-a9bd-898bedff464c</errorID>
      <errorWord>;</errorWord>
      <group>L1_Format</group>
      <groupName>格式问题</groupName>
      <ability>L2_HalfPunc_CN</ability>
      <abilityName>全半角检查</abilityName>
      <candidateList>
        <item>；</item>
      </candidateList>
      <explain>文本全半角错误。</explain>
      <paraID>25B32DD7</paraID>
      <start>67</start>
      <end>68</end>
      <status>unmodified</status>
      <modifiedWord/>
      <trackRevisions>false</trackRevisions>
    </reviewItem>
    <reviewItem>
      <errorID>898c1d0a-461a-41c3-b5ce-7384c23cd691</errorID>
      <errorWord>;</errorWord>
      <group>L1_Format</group>
      <groupName>格式问题</groupName>
      <ability>L2_HalfPunc_CN</ability>
      <abilityName>全半角检查</abilityName>
      <candidateList>
        <item>；</item>
      </candidateList>
      <explain>文本全半角错误。</explain>
      <paraID>25B32DD7</paraID>
      <start>140</start>
      <end>141</end>
      <status>unmodified</status>
      <modifiedWord/>
      <trackRevisions>false</trackRevisions>
    </reviewItem>
    <reviewItem>
      <errorID>896e4dbb-e889-46b7-b29e-0e02c0b0a902</errorID>
      <errorWord>;</errorWord>
      <group>L1_Format</group>
      <groupName>格式问题</groupName>
      <ability>L2_HalfPunc_CN</ability>
      <abilityName>全半角检查</abilityName>
      <candidateList>
        <item>；</item>
      </candidateList>
      <explain>文本全半角错误。</explain>
      <paraID>25B32DD7</paraID>
      <start>167</start>
      <end>168</end>
      <status>unmodified</status>
      <modifiedWord/>
      <trackRevisions>false</trackRevisions>
    </reviewItem>
    <reviewItem>
      <errorID>4e7abdc8-9e45-46f9-8a86-00a7899e44d3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7EB34B16</paraID>
      <start>251</start>
      <end>252</end>
      <status>unmodified</status>
      <modifiedWord/>
      <trackRevisions>false</trackRevisions>
    </reviewItem>
    <reviewItem>
      <errorID>44ec28c8-2119-463a-98f8-77d2767970c9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7EB34B16</paraID>
      <start>288</start>
      <end>289</end>
      <status>unmodified</status>
      <modifiedWord/>
      <trackRevisions>false</trackRevisions>
    </reviewItem>
    <reviewItem>
      <errorID>ee121aa4-a24f-4540-a241-821cd49e83da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35D73BDE</paraID>
      <start>12</start>
      <end>13</end>
      <status>unmodified</status>
      <modifiedWord/>
      <trackRevisions>false</trackRevisions>
    </reviewItem>
    <reviewItem>
      <errorID>9e2b6516-47bb-4992-9d5d-b7377cee7d90</errorID>
      <errorWord>、，</errorWord>
      <group>L1_Punc</group>
      <groupName>标点问题</groupName>
      <ability>L2_Punc_CN</ability>
      <abilityName>标点符号检查</abilityName>
      <candidateList>
        <item>、</item>
      </candidateList>
      <explain/>
      <paraID>39917A7C</paraID>
      <start>84</start>
      <end>86</end>
      <status>unmodified</status>
      <modifiedWord/>
      <trackRevisions>false</trackRevisions>
    </reviewItem>
    <reviewItem>
      <errorID>9626b716-ba12-4499-9b70-bf58845d2208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39917A7C</paraID>
      <start>248</start>
      <end>249</end>
      <status>unmodified</status>
      <modifiedWord/>
      <trackRevisions>false</trackRevisions>
    </reviewItem>
    <reviewItem>
      <errorID>40c5bd94-30b4-494d-998d-5baaa3d87d6f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39917A7C</paraID>
      <start>285</start>
      <end>286</end>
      <status>unmodified</status>
      <modifiedWord/>
      <trackRevisions>false</trackRevisions>
    </reviewItem>
    <reviewItem>
      <errorID>461fbfde-0c60-4ec9-a3aa-7edafa21ff4a</errorID>
      <errorWord>:</errorWord>
      <group>L1_Format</group>
      <groupName>格式问题</groupName>
      <ability>L2_HalfPunc_CN</ability>
      <abilityName>全半角检查</abilityName>
      <candidateList>
        <item>：</item>
      </candidateList>
      <explain>文本全半角错误。</explain>
      <paraID> 475A291</paraID>
      <start>9</start>
      <end>10</end>
      <status>unmodified</status>
      <modifiedWord/>
      <trackRevisions>false</trackRevisions>
    </reviewItem>
    <reviewItem>
      <errorID>8e160d4a-2b6f-40ed-b2f2-06e8ff148056</errorID>
      <errorWord>;</errorWord>
      <group>L1_Format</group>
      <groupName>格式问题</groupName>
      <ability>L2_HalfPunc_CN</ability>
      <abilityName>全半角检查</abilityName>
      <candidateList>
        <item>；</item>
      </candidateList>
      <explain>文本全半角错误。</explain>
      <paraID> 475A291</paraID>
      <start>72</start>
      <end>73</end>
      <status>unmodified</status>
      <modifiedWord/>
      <trackRevisions>false</trackRevisions>
    </reviewItem>
    <reviewItem>
      <errorID>c6df0e0a-f44e-4376-a216-6ea2f4289fb6</errorID>
      <errorWord>;</errorWord>
      <group>L1_Format</group>
      <groupName>格式问题</groupName>
      <ability>L2_HalfPunc_CN</ability>
      <abilityName>全半角检查</abilityName>
      <candidateList>
        <item>；</item>
      </candidateList>
      <explain>文本全半角错误。</explain>
      <paraID> 475A291</paraID>
      <start>155</start>
      <end>156</end>
      <status>unmodified</status>
      <modifiedWord/>
      <trackRevisions>false</trackRevisions>
    </reviewItem>
    <reviewItem>
      <errorID>f580da84-ea12-41f0-8e52-c7d977f1dc5d</errorID>
      <errorWord>;</errorWord>
      <group>L1_Format</group>
      <groupName>格式问题</groupName>
      <ability>L2_HalfPunc_CN</ability>
      <abilityName>全半角检查</abilityName>
      <candidateList>
        <item>；</item>
      </candidateList>
      <explain>文本全半角错误。</explain>
      <paraID> 475A291</paraID>
      <start>182</start>
      <end>183</end>
      <status>unmodified</status>
      <modifiedWord/>
      <trackRevisions>false</trackRevisions>
    </reviewItem>
    <reviewItem>
      <errorID>437b4b1e-c732-4313-a7fe-83b130245cd3</errorID>
      <errorWord>;</errorWord>
      <group>L1_Format</group>
      <groupName>格式问题</groupName>
      <ability>L2_HalfPunc_CN</ability>
      <abilityName>全半角检查</abilityName>
      <candidateList>
        <item>；</item>
      </candidateList>
      <explain>文本全半角错误。</explain>
      <paraID>600A3EF1</paraID>
      <start>50</start>
      <end>51</end>
      <status>unmodified</status>
      <modifiedWord/>
      <trackRevisions>false</trackRevisions>
    </reviewItem>
    <reviewItem>
      <errorID>4cd467f2-3439-484b-b5f0-89c7af104d6d</errorID>
      <errorWord>、、</errorWord>
      <group>L1_Punc</group>
      <groupName>标点问题</groupName>
      <ability>L2_Punc_CN</ability>
      <abilityName>标点符号检查</abilityName>
      <candidateList>
        <item>、</item>
      </candidateList>
      <explain/>
      <paraID>1340BB5E</paraID>
      <start>337</start>
      <end>339</end>
      <status>unmodified</status>
      <modifiedWord/>
      <trackRevisions>false</trackRevisions>
    </reviewItem>
    <reviewItem>
      <errorID>54b0db91-af44-458d-820d-685ecda4f06f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613CD115</paraID>
      <start>163</start>
      <end>164</end>
      <status>unmodified</status>
      <modifiedWord/>
      <trackRevisions>false</trackRevisions>
    </reviewItem>
    <reviewItem>
      <errorID>0066ce7c-9e0c-4045-bca5-8227152dc82b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613CD115</paraID>
      <start>187</start>
      <end>188</end>
      <status>unmodified</status>
      <modifiedWord/>
      <trackRevisions>false</trackRevisions>
    </reviewItem>
    <reviewItem>
      <errorID>c6f7732c-8ee9-4be8-91c4-7523b4b8feaf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613CD115</paraID>
      <start>197</start>
      <end>198</end>
      <status>unmodified</status>
      <modifiedWord/>
      <trackRevisions>false</trackRevisions>
    </reviewItem>
    <reviewItem>
      <errorID>90d72df8-a21b-4445-9238-3d7212f8bf07</errorID>
      <errorWord>：</errorWord>
      <group>L1_Format</group>
      <groupName>格式问题</groupName>
      <ability>L2_HalfPunc_CN</ability>
      <abilityName>全半角检查</abilityName>
      <candidateList>
        <item>:</item>
      </candidateList>
      <explain>文本全半角错误。</explain>
      <paraID>2BC0F31A</paraID>
      <start>63</start>
      <end>64</end>
      <status>unmodified</status>
      <modifiedWord/>
      <trackRevisions>false</trackRevisions>
    </reviewItem>
    <reviewItem>
      <errorID>d424eef2-fe81-47da-bbed-87774511f7c7</errorID>
      <errorWord>：</errorWord>
      <group>L1_Format</group>
      <groupName>格式问题</groupName>
      <ability>L2_HalfPunc_CN</ability>
      <abilityName>全半角检查</abilityName>
      <candidateList>
        <item>:</item>
      </candidateList>
      <explain>文本全半角错误。</explain>
      <paraID>2BC0F31A</paraID>
      <start>138</start>
      <end>139</end>
      <status>unmodified</status>
      <modifiedWord/>
      <trackRevisions>false</trackRevisions>
    </reviewItem>
    <reviewItem>
      <errorID>1a948a53-d0e2-4360-a4ff-2cbf22de74b0</errorID>
      <errorWord>：</errorWord>
      <group>L1_Format</group>
      <groupName>格式问题</groupName>
      <ability>L2_HalfPunc_CN</ability>
      <abilityName>全半角检查</abilityName>
      <candidateList>
        <item>:</item>
      </candidateList>
      <explain>文本全半角错误。</explain>
      <paraID>71DCC551</paraID>
      <start>60</start>
      <end>61</end>
      <status>unmodified</status>
      <modifiedWord/>
      <trackRevisions>false</trackRevisions>
    </reviewItem>
    <reviewItem>
      <errorID>237935e3-1cb9-4960-982e-0a2f33728597</errorID>
      <errorWord>：</errorWord>
      <group>L1_Format</group>
      <groupName>格式问题</groupName>
      <ability>L2_HalfPunc_CN</ability>
      <abilityName>全半角检查</abilityName>
      <candidateList>
        <item>:</item>
      </candidateList>
      <explain>文本全半角错误。</explain>
      <paraID>71DCC551</paraID>
      <start>135</start>
      <end>136</end>
      <status>unmodified</status>
      <modifiedWord/>
      <trackRevisions>false</trackRevisions>
    </reviewItem>
    <reviewItem>
      <errorID>4549d973-0350-4337-aacc-1a9d0a143bab</errorID>
      <errorWord>：</errorWord>
      <group>L1_Format</group>
      <groupName>格式问题</groupName>
      <ability>L2_HalfPunc_CN</ability>
      <abilityName>全半角检查</abilityName>
      <candidateList>
        <item>:</item>
      </candidateList>
      <explain>文本全半角错误。</explain>
      <paraID>43563F2F</paraID>
      <start>39</start>
      <end>40</end>
      <status>unmodified</status>
      <modifiedWord/>
      <trackRevisions>false</trackRevisions>
    </reviewItem>
    <reviewItem>
      <errorID>8ce877ad-ba55-4d1c-8ac2-42ca2da2bca8</errorID>
      <errorWord>：</errorWord>
      <group>L1_Format</group>
      <groupName>格式问题</groupName>
      <ability>L2_HalfPunc_CN</ability>
      <abilityName>全半角检查</abilityName>
      <candidateList>
        <item>:</item>
      </candidateList>
      <explain>文本全半角错误。</explain>
      <paraID>43563F2F</paraID>
      <start>114</start>
      <end>115</end>
      <status>unmodified</status>
      <modifiedWord/>
      <trackRevisions>false</trackRevisions>
    </reviewItem>
    <reviewItem>
      <errorID>1fd659d9-73ed-4f46-bb38-7e1bdc878554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1AD1FDAF</paraID>
      <start>0</start>
      <end>2</end>
      <status>unmodified</status>
      <modifiedWord/>
      <trackRevisions>false</trackRevisions>
    </reviewItem>
    <reviewItem>
      <errorID>d9a17cce-1b36-4638-8c7e-7c79c4b70de3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2692F67</paraID>
      <start>65</start>
      <end>66</end>
      <status>unmodified</status>
      <modifiedWord/>
      <trackRevisions>false</trackRevisions>
    </reviewItem>
    <reviewItem>
      <errorID>86163672-58d7-4602-aeba-9d759324cedf</errorID>
      <errorWord>(</errorWord>
      <group>L1_Format</group>
      <groupName>格式问题</groupName>
      <ability>L2_HalfPunc_CN</ability>
      <abilityName>全半角检查</abilityName>
      <candidateList>
        <item>（</item>
      </candidateList>
      <explain>文本全半角错误。</explain>
      <paraID> 2692F67</paraID>
      <start>96</start>
      <end>97</end>
      <status>unmodified</status>
      <modifiedWord/>
      <trackRevisions>false</trackRevisions>
    </reviewItem>
    <reviewItem>
      <errorID>11e8c72c-eca8-4111-a6c9-22f27422c288</errorID>
      <errorWord>)</errorWord>
      <group>L1_Format</group>
      <groupName>格式问题</groupName>
      <ability>L2_HalfPunc_CN</ability>
      <abilityName>全半角检查</abilityName>
      <candidateList>
        <item>）</item>
      </candidateList>
      <explain>文本全半角错误。</explain>
      <paraID> 2692F67</paraID>
      <start>108</start>
      <end>109</end>
      <status>unmodified</status>
      <modifiedWord/>
      <trackRevisions>false</trackRevisions>
    </reviewItem>
    <reviewItem>
      <errorID>13ea21a7-e9dc-4a97-acfb-9502510db8a1</errorID>
      <errorWord>(</errorWord>
      <group>L1_Format</group>
      <groupName>格式问题</groupName>
      <ability>L2_HalfPunc_CN</ability>
      <abilityName>全半角检查</abilityName>
      <candidateList>
        <item>（</item>
      </candidateList>
      <explain>文本全半角错误。</explain>
      <paraID> 2692F67</paraID>
      <start>149</start>
      <end>150</end>
      <status>unmodified</status>
      <modifiedWord/>
      <trackRevisions>false</trackRevisions>
    </reviewItem>
    <reviewItem>
      <errorID>9e5a1db3-f46b-4e1c-8b4c-25529fcc8250</errorID>
      <errorWord>)</errorWord>
      <group>L1_Format</group>
      <groupName>格式问题</groupName>
      <ability>L2_HalfPunc_CN</ability>
      <abilityName>全半角检查</abilityName>
      <candidateList>
        <item>）</item>
      </candidateList>
      <explain>文本全半角错误。</explain>
      <paraID> 2692F67</paraID>
      <start>152</start>
      <end>153</end>
      <status>unmodified</status>
      <modifiedWord/>
      <trackRevisions>false</trackRevisions>
    </reviewItem>
    <reviewItem>
      <errorID>f4d507b3-23db-47fd-be1c-43133a69ec57</errorID>
      <errorWord>:</errorWord>
      <group>L1_Format</group>
      <groupName>格式问题</groupName>
      <ability>L2_HalfPunc_CN</ability>
      <abilityName>全半角检查</abilityName>
      <candidateList>
        <item>：</item>
      </candidateList>
      <explain>文本全半角错误。</explain>
      <paraID> 2692F67</paraID>
      <start>192</start>
      <end>193</end>
      <status>unmodified</status>
      <modifiedWord/>
      <trackRevisions>false</trackRevisions>
    </reviewItem>
    <reviewItem>
      <errorID>7a71e7fe-513c-49fa-9066-ea127b54a1d6</errorID>
      <errorWord>:</errorWord>
      <group>L1_Format</group>
      <groupName>格式问题</groupName>
      <ability>L2_HalfPunc_CN</ability>
      <abilityName>全半角检查</abilityName>
      <candidateList>
        <item>：</item>
      </candidateList>
      <explain>文本全半角错误。</explain>
      <paraID> 2692F67</paraID>
      <start>205</start>
      <end>206</end>
      <status>unmodified</status>
      <modifiedWord/>
      <trackRevisions>false</trackRevisions>
    </reviewItem>
    <reviewItem>
      <errorID>caba16f0-5daf-41b0-bbbd-31effe20a3b4</errorID>
      <errorWord>(</errorWord>
      <group>L1_Format</group>
      <groupName>格式问题</groupName>
      <ability>L2_HalfPunc_CN</ability>
      <abilityName>全半角检查</abilityName>
      <candidateList>
        <item>（</item>
      </candidateList>
      <explain>文本全半角错误。</explain>
      <paraID> 2692F67</paraID>
      <start>241</start>
      <end>242</end>
      <status>unmodified</status>
      <modifiedWord/>
      <trackRevisions>false</trackRevisions>
    </reviewItem>
    <reviewItem>
      <errorID>1e065268-43a9-40ba-ac63-8be3770b7eb3</errorID>
      <errorWord>)</errorWord>
      <group>L1_Format</group>
      <groupName>格式问题</groupName>
      <ability>L2_HalfPunc_CN</ability>
      <abilityName>全半角检查</abilityName>
      <candidateList>
        <item>）</item>
      </candidateList>
      <explain>文本全半角错误。</explain>
      <paraID> 2692F67</paraID>
      <start>244</start>
      <end>245</end>
      <status>unmodified</status>
      <modifiedWord/>
      <trackRevisions>false</trackRevisions>
    </reviewItem>
    <reviewItem>
      <errorID>c51f16eb-67b1-4e2c-80db-daa11ba23598</errorID>
      <errorWord>WiFi</errorWord>
      <group>L1_Punc</group>
      <groupName>标点问题</groupName>
      <ability>L2_Punc_CN</ability>
      <abilityName>标点符号检查</abilityName>
      <candidateList>
        <item>Wi-Fi</item>
      </candidateList>
      <explain/>
      <paraID> 2692F67</paraID>
      <start>409</start>
      <end>413</end>
      <status>unmodified</status>
      <modifiedWord/>
      <trackRevisions>false</trackRevisions>
    </reviewItem>
    <reviewItem>
      <errorID>c453bdb1-e237-4073-b86e-467f5ae254f4</errorID>
      <errorWord>(</errorWord>
      <group>L1_Format</group>
      <groupName>格式问题</groupName>
      <ability>L2_HalfPunc_CN</ability>
      <abilityName>全半角检查</abilityName>
      <candidateList>
        <item>（</item>
      </candidateList>
      <explain>文本全半角错误。</explain>
      <paraID> 2692F67</paraID>
      <start>551</start>
      <end>552</end>
      <status>unmodified</status>
      <modifiedWord/>
      <trackRevisions>false</trackRevisions>
    </reviewItem>
    <reviewItem>
      <errorID>ce729814-aa18-4921-b4c4-a40d77536a96</errorID>
      <errorWord>)</errorWord>
      <group>L1_Format</group>
      <groupName>格式问题</groupName>
      <ability>L2_HalfPunc_CN</ability>
      <abilityName>全半角检查</abilityName>
      <candidateList>
        <item>）</item>
      </candidateList>
      <explain>文本全半角错误。</explain>
      <paraID> 2692F67</paraID>
      <start>556</start>
      <end>557</end>
      <status>unmodified</status>
      <modifiedWord/>
      <trackRevisions>false</trackRevisions>
    </reviewItem>
    <reviewItem>
      <errorID>9693baa7-1dc8-4dfc-8072-82070b0feff7</errorID>
      <errorWord>~</errorWord>
      <group>L1_Format</group>
      <groupName>格式问题</groupName>
      <ability>L2_HalfPunc_CN</ability>
      <abilityName>全半角检查</abilityName>
      <candidateList>
        <item>～</item>
      </candidateList>
      <explain>文本全半角错误。</explain>
      <paraID> 2692F67</paraID>
      <start>630</start>
      <end>631</end>
      <status>unmodified</status>
      <modifiedWord/>
      <trackRevisions>false</trackRevisions>
    </reviewItem>
    <reviewItem>
      <errorID>0b235b90-972a-44bd-940f-6432eedacb3a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1152C060</paraID>
      <start>69</start>
      <end>70</end>
      <status>unmodified</status>
      <modifiedWord/>
      <trackRevisions>false</trackRevisions>
    </reviewItem>
    <reviewItem>
      <errorID>3c16f373-652c-455b-9ae9-7c67565d7b64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1152C060</paraID>
      <start>134</start>
      <end>135</end>
      <status>unmodified</status>
      <modifiedWord/>
      <trackRevisions>false</trackRevisions>
    </reviewItem>
    <reviewItem>
      <errorID>678f6dc8-2ab5-457d-9b10-0f55eb86df35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60383FC</paraID>
      <start>204</start>
      <end>205</end>
      <status>unmodified</status>
      <modifiedWord/>
      <trackRevisions>false</trackRevisions>
    </reviewItem>
    <reviewItem>
      <errorID>929e1460-c127-483f-9b31-14cbdee164d1</errorID>
      <errorWord>.</errorWord>
      <group>L1_Format</group>
      <groupName>格式问题</groupName>
      <ability>L2_HalfPunc_CN</ability>
      <abilityName>全半角检查</abilityName>
      <candidateList>
        <item>。</item>
      </candidateList>
      <explain>文本全半角错误。</explain>
      <paraID> 60383FC</paraID>
      <start>367</start>
      <end>368</end>
      <status>unmodified</status>
      <modifiedWord/>
      <trackRevisions>false</trackRevisions>
    </reviewItem>
    <reviewItem>
      <errorID>626d294d-e2f7-4e95-b287-c9feceb52290</errorID>
      <errorWord>:</errorWord>
      <group>L1_Format</group>
      <groupName>格式问题</groupName>
      <ability>L2_HalfPunc_CN</ability>
      <abilityName>全半角检查</abilityName>
      <candidateList>
        <item>：</item>
      </candidateList>
      <explain>文本全半角错误。</explain>
      <paraID>1A9C5E50</paraID>
      <start>18</start>
      <end>19</end>
      <status>unmodified</status>
      <modifiedWord/>
      <trackRevisions>false</trackRevisions>
    </reviewItem>
    <reviewItem>
      <errorID>840c8952-1817-4864-b964-633ec84501d2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1A9C5E50</paraID>
      <start>23</start>
      <end>24</end>
      <status>unmodified</status>
      <modifiedWord/>
      <trackRevisions>false</trackRevisions>
    </reviewItem>
    <reviewItem>
      <errorID>a01f0e76-856c-40e1-9dbd-afd373b49182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1A9C5E50</paraID>
      <start>32</start>
      <end>33</end>
      <status>unmodified</status>
      <modifiedWord/>
      <trackRevisions>false</trackRevisions>
    </reviewItem>
    <reviewItem>
      <errorID>ea2d0744-021a-4841-aff4-73397cfe74c2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1A9C5E50</paraID>
      <start>48</start>
      <end>49</end>
      <status>unmodified</status>
      <modifiedWord/>
      <trackRevisions>false</trackRevisions>
    </reviewItem>
    <reviewItem>
      <errorID>ba2f930d-e800-45b8-bcfb-43ce3f8b879c</errorID>
      <errorWord>:</errorWord>
      <group>L1_Format</group>
      <groupName>格式问题</groupName>
      <ability>L2_HalfPunc_CN</ability>
      <abilityName>全半角检查</abilityName>
      <candidateList>
        <item>：</item>
      </candidateList>
      <explain>文本全半角错误。</explain>
      <paraID>1A9C5E50</paraID>
      <start>76</start>
      <end>77</end>
      <status>unmodified</status>
      <modifiedWord/>
      <trackRevisions>false</trackRevisions>
    </reviewItem>
    <reviewItem>
      <errorID>5580a41e-3ce7-488f-ae33-3d36011f401e</errorID>
      <errorWord>:</errorWord>
      <group>L1_Format</group>
      <groupName>格式问题</groupName>
      <ability>L2_HalfPunc_CN</ability>
      <abilityName>全半角检查</abilityName>
      <candidateList>
        <item>：</item>
      </candidateList>
      <explain>文本全半角错误。</explain>
      <paraID>1A9C5E50</paraID>
      <start>110</start>
      <end>111</end>
      <status>unmodified</status>
      <modifiedWord/>
      <trackRevisions>false</trackRevisions>
    </reviewItem>
    <reviewItem>
      <errorID>823b8d94-c460-4362-9902-06bbe0bf1028</errorID>
      <errorWord>:</errorWord>
      <group>L1_Format</group>
      <groupName>格式问题</groupName>
      <ability>L2_HalfPunc_CN</ability>
      <abilityName>全半角检查</abilityName>
      <candidateList>
        <item>：</item>
      </candidateList>
      <explain>文本全半角错误。</explain>
      <paraID>1A9C5E50</paraID>
      <start>139</start>
      <end>140</end>
      <status>unmodified</status>
      <modifiedWord/>
      <trackRevisions>false</trackRevisions>
    </reviewItem>
    <reviewItem>
      <errorID>bdd86492-c8a4-477b-8b3c-9a4119c59d6d</errorID>
      <errorWord>(</errorWord>
      <group>L1_Format</group>
      <groupName>格式问题</groupName>
      <ability>L2_HalfPunc_CN</ability>
      <abilityName>全半角检查</abilityName>
      <candidateList>
        <item>（</item>
      </candidateList>
      <explain>文本全半角错误。</explain>
      <paraID>1A9C5E50</paraID>
      <start>580</start>
      <end>581</end>
      <status>unmodified</status>
      <modifiedWord/>
      <trackRevisions>false</trackRevisions>
    </reviewItem>
    <reviewItem>
      <errorID>6bedd152-260b-4a91-8fad-cbc61059ddc8</errorID>
      <errorWord>)</errorWord>
      <group>L1_Format</group>
      <groupName>格式问题</groupName>
      <ability>L2_HalfPunc_CN</ability>
      <abilityName>全半角检查</abilityName>
      <candidateList>
        <item>）</item>
      </candidateList>
      <explain>文本全半角错误。</explain>
      <paraID>1A9C5E50</paraID>
      <start>583</start>
      <end>584</end>
      <status>unmodified</status>
      <modifiedWord/>
      <trackRevisions>false</trackRevisions>
    </reviewItem>
    <reviewItem>
      <errorID>48712df9-d111-449b-8ed6-901d203c4e3e</errorID>
      <errorWord>:</errorWord>
      <group>L1_Format</group>
      <groupName>格式问题</groupName>
      <ability>L2_HalfPunc_CN</ability>
      <abilityName>全半角检查</abilityName>
      <candidateList>
        <item>：</item>
      </candidateList>
      <explain>文本全半角错误。</explain>
      <paraID>1A9C5E50</paraID>
      <start>696</start>
      <end>697</end>
      <status>unmodified</status>
      <modifiedWord/>
      <trackRevisions>false</trackRevisions>
    </reviewItem>
    <reviewItem>
      <errorID>76a51b12-bfa5-49ab-84c6-9e9ab77b4d13</errorID>
      <errorWord>:</errorWord>
      <group>L1_Format</group>
      <groupName>格式问题</groupName>
      <ability>L2_HalfPunc_CN</ability>
      <abilityName>全半角检查</abilityName>
      <candidateList>
        <item>：</item>
      </candidateList>
      <explain>文本全半角错误。</explain>
      <paraID>1A9C5E50</paraID>
      <start>701</start>
      <end>702</end>
      <status>unmodified</status>
      <modifiedWord/>
      <trackRevisions>false</trackRevisions>
    </reviewItem>
    <reviewItem>
      <errorID>8dd83a3d-891d-4835-9c2a-bbd3c51f84a8</errorID>
      <errorWord>:</errorWord>
      <group>L1_Format</group>
      <groupName>格式问题</groupName>
      <ability>L2_HalfPunc_CN</ability>
      <abilityName>全半角检查</abilityName>
      <candidateList>
        <item>：</item>
      </candidateList>
      <explain>文本全半角错误。</explain>
      <paraID>1A9C5E50</paraID>
      <start>714</start>
      <end>715</end>
      <status>unmodified</status>
      <modifiedWord/>
      <trackRevisions>false</trackRevisions>
    </reviewItem>
    <reviewItem>
      <errorID>397b4b84-2073-4532-be82-73dd0b52a150</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1A9C5E50</paraID>
      <start>716</start>
      <end>722</end>
      <status>unmodified</status>
      <modifiedWord/>
      <trackRevisions>false</trackRevisions>
    </reviewItem>
    <reviewItem>
      <errorID>69beec9f-e8f9-40cc-ab3e-6aba60e2a24a</errorID>
      <errorWord>海拔高度</errorWord>
      <group>L1_Word</group>
      <groupName>字词问题</groupName>
      <ability>L2_Typo</ability>
      <abilityName>字词错误</abilityName>
      <candidateList>
        <item>海拔</item>
      </candidateList>
      <explain>〈名〉从平均海平面起算的高度。</explain>
      <paraID>1A9C5E50</paraID>
      <start>740</start>
      <end>744</end>
      <status>unmodified</status>
      <modifiedWord/>
      <trackRevisions>false</trackRevisions>
    </reviewItem>
    <reviewItem>
      <errorID>c6fadd66-6431-4c8c-b68b-b01ef11c7758</errorID>
      <errorWord>:</errorWord>
      <group>L1_Format</group>
      <groupName>格式问题</groupName>
      <ability>L2_HalfPunc_CN</ability>
      <abilityName>全半角检查</abilityName>
      <candidateList>
        <item>：</item>
      </candidateList>
      <explain>文本全半角错误。</explain>
      <paraID>1A9C5E50</paraID>
      <start>744</start>
      <end>745</end>
      <status>unmodified</status>
      <modifiedWord/>
      <trackRevisions>false</trackRevisions>
    </reviewItem>
    <reviewItem>
      <errorID>bba7bb57-5fa9-48f4-bab0-70ab8370d559</errorID>
      <errorWord>(</errorWord>
      <group>L1_Format</group>
      <groupName>格式问题</groupName>
      <ability>L2_HalfPunc_CN</ability>
      <abilityName>全半角检查</abilityName>
      <candidateList>
        <item>（</item>
      </candidateList>
      <explain>文本全半角错误。</explain>
      <paraID>6F10CE4E</paraID>
      <start>184</start>
      <end>185</end>
      <status>unmodified</status>
      <modifiedWord/>
      <trackRevisions>false</trackRevisions>
    </reviewItem>
    <reviewItem>
      <errorID>78a7baad-f025-4c35-a971-528318a26133</errorID>
      <errorWord>)</errorWord>
      <group>L1_Format</group>
      <groupName>格式问题</groupName>
      <ability>L2_HalfPunc_CN</ability>
      <abilityName>全半角检查</abilityName>
      <candidateList>
        <item>）</item>
      </candidateList>
      <explain>文本全半角错误。</explain>
      <paraID>6F10CE4E</paraID>
      <start>198</start>
      <end>199</end>
      <status>unmodified</status>
      <modifiedWord/>
      <trackRevisions>false</trackRevisions>
    </reviewItem>
    <reviewItem>
      <errorID>0a131e13-f41f-413c-960f-ee25f25037ae</errorID>
      <errorWord>(</errorWord>
      <group>L1_Format</group>
      <groupName>格式问题</groupName>
      <ability>L2_HalfPunc_CN</ability>
      <abilityName>全半角检查</abilityName>
      <candidateList>
        <item>（</item>
      </candidateList>
      <explain>文本全半角错误。</explain>
      <paraID>29D72DC7</paraID>
      <start>58</start>
      <end>59</end>
      <status>unmodified</status>
      <modifiedWord/>
      <trackRevisions>false</trackRevisions>
    </reviewItem>
    <reviewItem>
      <errorID>42fc0140-445a-40e3-8328-f41a70755a2c</errorID>
      <errorWord>)</errorWord>
      <group>L1_Format</group>
      <groupName>格式问题</groupName>
      <ability>L2_HalfPunc_CN</ability>
      <abilityName>全半角检查</abilityName>
      <candidateList>
        <item>）</item>
      </candidateList>
      <explain>文本全半角错误。</explain>
      <paraID>29D72DC7</paraID>
      <start>63</start>
      <end>64</end>
      <status>unmodified</status>
      <modifiedWord/>
      <trackRevisions>false</trackRevisions>
    </reviewItem>
    <reviewItem>
      <errorID>e364182d-9b12-4c5e-9506-f72f5e05820d</errorID>
      <errorWord>(</errorWord>
      <group>L1_Format</group>
      <groupName>格式问题</groupName>
      <ability>L2_HalfPunc_CN</ability>
      <abilityName>全半角检查</abilityName>
      <candidateList>
        <item>（</item>
      </candidateList>
      <explain>文本全半角错误。</explain>
      <paraID>29D72DC7</paraID>
      <start>80</start>
      <end>81</end>
      <status>unmodified</status>
      <modifiedWord/>
      <trackRevisions>false</trackRevisions>
    </reviewItem>
    <reviewItem>
      <errorID>0f714beb-e37f-4afe-9199-66358465c881</errorID>
      <errorWord>)</errorWord>
      <group>L1_Format</group>
      <groupName>格式问题</groupName>
      <ability>L2_HalfPunc_CN</ability>
      <abilityName>全半角检查</abilityName>
      <candidateList>
        <item>）</item>
      </candidateList>
      <explain>文本全半角错误。</explain>
      <paraID>29D72DC7</paraID>
      <start>86</start>
      <end>87</end>
      <status>unmodified</status>
      <modifiedWord/>
      <trackRevisions>false</trackRevisions>
    </reviewItem>
    <reviewItem>
      <errorID>5925b047-9586-4bea-9411-4c6276d3cf60</errorID>
      <errorWord>:</errorWord>
      <group>L1_Format</group>
      <groupName>格式问题</groupName>
      <ability>L2_HalfPunc_CN</ability>
      <abilityName>全半角检查</abilityName>
      <candidateList>
        <item>：</item>
      </candidateList>
      <explain>文本全半角错误。</explain>
      <paraID>29D72DC7</paraID>
      <start>116</start>
      <end>117</end>
      <status>unmodified</status>
      <modifiedWord/>
      <trackRevisions>false</trackRevisions>
    </reviewItem>
    <reviewItem>
      <errorID>c726b4ac-0452-41a4-924b-ecae9475abc2</errorID>
      <errorWord>(</errorWord>
      <group>L1_Format</group>
      <groupName>格式问题</groupName>
      <ability>L2_HalfPunc_CN</ability>
      <abilityName>全半角检查</abilityName>
      <candidateList>
        <item>（</item>
      </candidateList>
      <explain>文本全半角错误。</explain>
      <paraID>608CB730</paraID>
      <start>9</start>
      <end>10</end>
      <status>unmodified</status>
      <modifiedWord/>
      <trackRevisions>false</trackRevisions>
    </reviewItem>
    <reviewItem>
      <errorID>612f72da-2243-4fc2-ab14-715d8cb82dd2</errorID>
      <errorWord>)</errorWord>
      <group>L1_Format</group>
      <groupName>格式问题</groupName>
      <ability>L2_HalfPunc_CN</ability>
      <abilityName>全半角检查</abilityName>
      <candidateList>
        <item>）</item>
      </candidateList>
      <explain>文本全半角错误。</explain>
      <paraID>608CB730</paraID>
      <start>55</start>
      <end>56</end>
      <status>unmodified</status>
      <modifiedWord/>
      <trackRevisions>false</trackRevisions>
    </reviewItem>
    <reviewItem>
      <errorID>d9826f69-1afb-4b5b-aa0b-ddd9bbc95df2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608CB730</paraID>
      <start>843</start>
      <end>846</end>
      <status>unmodified</status>
      <modifiedWord/>
      <trackRevisions>false</trackRevisions>
    </reviewItem>
    <reviewItem>
      <errorID>a77dc5e2-de96-4800-9d6f-12942835e49e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608CB730</paraID>
      <start>855</start>
      <end>858</end>
      <status>unmodified</status>
      <modifiedWord/>
      <trackRevisions>false</trackRevisions>
    </reviewItem>
    <reviewItem>
      <errorID>687ef71f-0323-43bc-bbeb-bd7a3cb2c8b8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608CB730</paraID>
      <start>867</start>
      <end>870</end>
      <status>unmodified</status>
      <modifiedWord/>
      <trackRevisions>false</trackRevisions>
    </reviewItem>
    <reviewItem>
      <errorID>5633d6d3-7370-4c31-b826-9d63b91ab03a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608CB730</paraID>
      <start>879</start>
      <end>882</end>
      <status>unmodified</status>
      <modifiedWord/>
      <trackRevisions>false</trackRevisions>
    </reviewItem>
    <reviewItem>
      <errorID>d1e3dfb4-356b-4d9f-8e11-fed26a18ee15</errorID>
      <errorWord>-</errorWord>
      <group>L1_Format</group>
      <groupName>格式问题</groupName>
      <ability>L2_HalfPunc_CN</ability>
      <abilityName>全半角检查</abilityName>
      <candidateList>
        <item>－</item>
      </candidateList>
      <explain>文本全半角错误。</explain>
      <paraID>70D1DF63</paraID>
      <start>3</start>
      <end>4</end>
      <status>unmodified</status>
      <modifiedWord/>
      <trackRevisions>false</trackRevisions>
    </reviewItem>
    <reviewItem>
      <errorID>fd383cf5-c637-48fa-8be7-a479d1fd6a1a</errorID>
      <errorWord>(</errorWord>
      <group>L1_Format</group>
      <groupName>格式问题</groupName>
      <ability>L2_HalfPunc_CN</ability>
      <abilityName>全半角检查</abilityName>
      <candidateList>
        <item>（</item>
      </candidateList>
      <explain>文本全半角错误。</explain>
      <paraID>70D1DF63</paraID>
      <start>49</start>
      <end>50</end>
      <status>unmodified</status>
      <modifiedWord/>
      <trackRevisions>false</trackRevisions>
    </reviewItem>
    <reviewItem>
      <errorID>ac552186-bb7e-4b4a-b410-ae0ea43e7a75</errorID>
      <errorWord>)</errorWord>
      <group>L1_Format</group>
      <groupName>格式问题</groupName>
      <ability>L2_HalfPunc_CN</ability>
      <abilityName>全半角检查</abilityName>
      <candidateList>
        <item>）</item>
      </candidateList>
      <explain>文本全半角错误。</explain>
      <paraID>70D1DF63</paraID>
      <start>62</start>
      <end>63</end>
      <status>unmodified</status>
      <modifiedWord/>
      <trackRevisions>false</trackRevisions>
    </reviewItem>
    <reviewItem>
      <errorID>ba5fd1bf-7af3-4c23-bc21-0ee488dcd964</errorID>
      <errorWord>%</errorWord>
      <group>L1_Word</group>
      <groupName>字词问题</groupName>
      <ability>L2_Typo</ability>
      <abilityName>字词错误</abilityName>
      <candidateList>
        <item>%以</item>
      </candidateList>
      <explain/>
      <paraID>70D1DF63</paraID>
      <start>83</start>
      <end>84</end>
      <status>unmodified</status>
      <modifiedWord/>
      <trackRevisions>false</trackRevisions>
    </reviewItem>
    <reviewItem>
      <errorID>8ab40b9c-9311-4e8c-9e7e-5e5fdf79310f</errorID>
      <errorWord>,</errorWord>
      <group>L1_Format</group>
      <groupName>格式问题</groupName>
      <ability>L2_HalfPunc_CN</ability>
      <abilityName>全半角检查</abilityName>
      <candidateList>
        <item>，</item>
      </candidateList>
      <explain>文本全半角错误。</explain>
      <paraID>70D1DF63</paraID>
      <start>135</start>
      <end>136</end>
      <status>unmodified</status>
      <modifiedWord/>
      <trackRevisions>false</trackRevisions>
    </reviewItem>
    <reviewItem>
      <errorID>b57408f8-c068-40a4-9fed-1039dc3fb7b4</errorID>
      <errorWord>,</errorWord>
      <group>L1_Format</group>
      <groupName>格式问题</groupName>
      <ability>L2_HalfPunc_CN</ability>
      <abilityName>全半角检查</abilityName>
      <candidateList>
        <item>，</item>
      </candidateList>
      <explain>文本全半角错误。</explain>
      <paraID>70D1DF63</paraID>
      <start>187</start>
      <end>188</end>
      <status>unmodified</status>
      <modifiedWord/>
      <trackRevisions>false</trackRevisions>
    </reviewItem>
    <reviewItem>
      <errorID>04744027-9391-4139-9e84-3be0b5f0bcef</errorID>
      <errorWord>:</errorWord>
      <group>L1_Format</group>
      <groupName>格式问题</groupName>
      <ability>L2_HalfPunc_CN</ability>
      <abilityName>全半角检查</abilityName>
      <candidateList>
        <item>：</item>
      </candidateList>
      <explain>文本全半角错误。</explain>
      <paraID>70D1DF63</paraID>
      <start>406</start>
      <end>407</end>
      <status>unmodified</status>
      <modifiedWord/>
      <trackRevisions>false</trackRevisions>
    </reviewItem>
    <reviewItem>
      <errorID>12ffab96-6177-40aa-85d8-2e4c1a8339e6</errorID>
      <errorWord>)</errorWord>
      <group>L1_Format</group>
      <groupName>格式问题</groupName>
      <ability>L2_HalfPunc_CN</ability>
      <abilityName>全半角检查</abilityName>
      <candidateList>
        <item>）</item>
      </candidateList>
      <explain>文本全半角错误。</explain>
      <paraID>4213CAD2</paraID>
      <start>31</start>
      <end>32</end>
      <status>unmodified</status>
      <modifiedWord/>
      <trackRevisions>false</trackRevisions>
    </reviewItem>
    <reviewItem>
      <errorID>186c9172-f2f0-4705-9000-09d342e1aa2d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661C47BE</paraID>
      <start>154</start>
      <end>155</end>
      <status>unmodified</status>
      <modifiedWord/>
      <trackRevisions>false</trackRevisions>
    </reviewItem>
    <reviewItem>
      <errorID>3abd2ea7-91df-49f4-a4cf-72fa3e4c6c85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661C47BE</paraID>
      <start>191</start>
      <end>192</end>
      <status>unmodified</status>
      <modifiedWord/>
      <trackRevisions>false</trackRevisions>
    </reviewItem>
    <reviewItem>
      <errorID>9ceadda4-2806-4ba4-9f0b-95eb8e68a597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1A81421C</paraID>
      <start>0</start>
      <end>2</end>
      <status>unmodified</status>
      <modifiedWord/>
      <trackRevisions>false</trackRevisions>
    </reviewItem>
    <reviewItem>
      <errorID>5175f160-a59a-4ae5-970f-4268e06b90e2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6BD1EFC1</paraID>
      <start>0</start>
      <end>2</end>
      <status>unmodified</status>
      <modifiedWord/>
      <trackRevisions>false</trackRevisions>
    </reviewItem>
    <reviewItem>
      <errorID>cffefd93-cb0f-400b-9717-271e420b89e7</errorID>
      <errorWord>约</errorWord>
      <group>L1_Word</group>
      <groupName>字词问题</groupName>
      <ability>L2_Typo</ability>
      <abilityName>字词错误</abilityName>
      <candidateList>
        <item>约定</item>
      </candidateList>
      <explain/>
      <paraID> C6D8005</paraID>
      <start>80</start>
      <end>81</end>
      <status>unmodified</status>
      <modifiedWord/>
      <trackRevisions>false</trackRevisions>
    </reviewItem>
    <reviewItem>
      <errorID>9dfdd66f-fd45-4def-8b3d-32836b07befd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5BC469D2</paraID>
      <start>116</start>
      <end>119</end>
      <status>unmodified</status>
      <modifiedWord/>
      <trackRevisions>false</trackRevisions>
    </reviewItem>
    <reviewItem>
      <errorID>fdbbbfb5-f6a3-4445-a3bc-5386279f9adb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5BC469D2</paraID>
      <start>121</start>
      <end>124</end>
      <status>unmodified</status>
      <modifiedWord/>
      <trackRevisions>false</trackRevisions>
    </reviewItem>
    <reviewItem>
      <errorID>49aa5f2d-d53a-4b14-852e-df2f26c85d38</errorID>
      <errorWord>》</errorWord>
      <group>L1_Word</group>
      <groupName>字词问题</groupName>
      <ability>L2_Typo</ability>
      <abilityName>字词错误</abilityName>
      <candidateList>
        <item>》和</item>
      </candidateList>
      <explain/>
      <paraID>2E31DCF7</paraID>
      <start>127</start>
      <end>128</end>
      <status>unmodified</status>
      <modifiedWord/>
      <trackRevisions>false</trackRevisions>
    </reviewItem>
    <reviewItem>
      <errorID>4031d4de-f54c-4508-ba75-dd1c46814f65</errorID>
      <errorWord>》</errorWord>
      <group>L1_Word</group>
      <groupName>字词问题</groupName>
      <ability>L2_Typo</ability>
      <abilityName>字词错误</abilityName>
      <candidateList>
        <item>》等</item>
      </candidateList>
      <explain/>
      <paraID>2E31DCF7</paraID>
      <start>154</start>
      <end>155</end>
      <status>unmodified</status>
      <modifiedWord/>
      <trackRevisions>false</trackRevisions>
    </reviewItem>
    <reviewItem>
      <errorID>24cc5766-1951-4b10-960e-2168a105fb7b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51DDFC8F</paraID>
      <start>49</start>
      <end>50</end>
      <status>unmodified</status>
      <modifiedWord/>
      <trackRevisions>false</trackRevisions>
    </reviewItem>
    <reviewItem>
      <errorID>75d95ef6-ab3c-4e21-ab89-67bdd06bc028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4C2ED6DC</paraID>
      <start>49</start>
      <end>50</end>
      <status>unmodified</status>
      <modifiedWord/>
      <trackRevisions>false</trackRevisions>
    </reviewItem>
    <reviewItem>
      <errorID>3cea6a59-d800-4aae-8999-f2104717cc5e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3BF598C1</paraID>
      <start>34</start>
      <end>35</end>
      <status>unmodified</status>
      <modifiedWord/>
      <trackRevisions>false</trackRevisions>
    </reviewItem>
    <reviewItem>
      <errorID>f40200ec-c5de-4147-8534-75d90387133c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520F694C</paraID>
      <start>0</start>
      <end>2</end>
      <status>unmodified</status>
      <modifiedWord/>
      <trackRevisions>false</trackRevisions>
    </reviewItem>
    <reviewItem>
      <errorID>9e714beb-29c8-491c-97ab-4fb125653719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34475B7B</paraID>
      <start>0</start>
      <end>2</end>
      <status>unmodified</status>
      <modifiedWord/>
      <trackRevisions>false</trackRevisions>
    </reviewItem>
    <reviewItem>
      <errorID>810f6a61-0893-4903-81a5-c0959dec464a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16B82CD2</paraID>
      <start>0</start>
      <end>2</end>
      <status>unmodified</status>
      <modifiedWord/>
      <trackRevisions>false</trackRevisions>
    </reviewItem>
    <reviewItem>
      <errorID>d14d9328-ecc3-48cc-87f6-00d17bfed52e</errorID>
      <errorWord>有有</errorWord>
      <group>L1_Word</group>
      <groupName>字词问题</groupName>
      <ability>L2_Typo</ability>
      <abilityName>字词错误</abilityName>
      <candidateList>
        <item>有</item>
      </candidateList>
      <explain>〈书〉同“又”▲：三十～八年。</explain>
      <paraID>28D8A61C</paraID>
      <start>38</start>
      <end>39</end>
      <status>modified</status>
      <modifiedWord>有</modifiedWord>
      <trackRevisions>false</trackRevisions>
    </reviewItem>
    <reviewItem>
      <errorID>56a1f467-066c-4fd5-bb4a-3ed9496ad4bc</errorID>
      <errorWord>,</errorWord>
      <group>L1_Format</group>
      <groupName>格式问题</groupName>
      <ability>L2_HalfPunc_CN</ability>
      <abilityName>全半角检查</abilityName>
      <candidateList>
        <item>，</item>
      </candidateList>
      <explain>文本全半角错误。</explain>
      <paraID> 74A6A7E</paraID>
      <start>15</start>
      <end>16</end>
      <status>unmodified</status>
      <modifiedWord/>
      <trackRevisions>false</trackRevisions>
    </reviewItem>
    <reviewItem>
      <errorID>a852c962-d666-4a06-992d-0d9c0b001c31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9907D1F</paraID>
      <start>0</start>
      <end>2</end>
      <status>unmodified</status>
      <modifiedWord/>
      <trackRevisions>false</trackRevisions>
    </reviewItem>
    <reviewItem>
      <errorID>0902b2ea-c324-4c7a-a6a2-b95eb4b96007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71CD273</paraID>
      <start>0</start>
      <end>2</end>
      <status>unmodified</status>
      <modifiedWord/>
      <trackRevisions>false</trackRevisions>
    </reviewItem>
    <reviewItem>
      <errorID>edfcfe16-219d-489e-80b4-89828c57358e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77C2447D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50B12EE-7AF0-48AB-A616-785B2968FAC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孙颂</cp:lastModifiedBy>
  <cp:revision>15</cp:revision>
  <dcterms:created xsi:type="dcterms:W3CDTF">2022-02-23T07:05:00Z</dcterms:created>
  <dcterms:modified xsi:type="dcterms:W3CDTF">2026-06-10T07:03:59Z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7F8F75040A954DFEB521FE58105239C0_13</vt:lpwstr>
  </property>
  <property fmtid="{D5CDD505-2E9C-101B-9397-08002B2CF9AE}" pid="4" name="KSOTemplateDocerSaveRecord">
    <vt:lpwstr>eyJoZGlkIjoiYmI2MWU5YzY2OGRjZTEzMTczNTJjZGFlNGZhYjA5YjgiLCJ1c2VySWQiOiIyMzU0ODYyOTQifQ==</vt:lpwstr>
  </property>
</Properties>
</file>